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b/>
          <w:bCs/>
          <w:sz w:val="40"/>
          <w:szCs w:val="48"/>
          <w:lang w:eastAsia="zh-CN"/>
        </w:rPr>
      </w:pPr>
      <w:r>
        <w:rPr>
          <w:rFonts w:hint="eastAsia"/>
          <w:b/>
          <w:bCs/>
          <w:sz w:val="40"/>
          <w:szCs w:val="48"/>
          <w:lang w:eastAsia="zh-CN"/>
        </w:rPr>
        <w:t>莘宸吧台托盘程序设计文档</w:t>
      </w:r>
    </w:p>
    <w:p>
      <w:pPr>
        <w:rPr>
          <w:rFonts w:hint="eastAsia"/>
          <w:lang w:eastAsia="zh-CN"/>
        </w:rPr>
      </w:pPr>
      <w:r>
        <w:rPr>
          <w:rFonts w:hint="eastAsia"/>
          <w:lang w:eastAsia="zh-CN"/>
        </w:rPr>
        <w:t>更新日志</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1823"/>
        <w:gridCol w:w="1247"/>
        <w:gridCol w:w="4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jc w:val="center"/>
              <w:rPr>
                <w:rFonts w:hint="eastAsia"/>
                <w:vertAlign w:val="baseline"/>
                <w:lang w:val="en-US" w:eastAsia="zh-CN"/>
              </w:rPr>
            </w:pPr>
            <w:r>
              <w:rPr>
                <w:rFonts w:hint="eastAsia"/>
                <w:vertAlign w:val="baseline"/>
                <w:lang w:val="en-US" w:eastAsia="zh-CN"/>
              </w:rPr>
              <w:t>版本号</w:t>
            </w:r>
          </w:p>
        </w:tc>
        <w:tc>
          <w:tcPr>
            <w:tcW w:w="1823" w:type="dxa"/>
          </w:tcPr>
          <w:p>
            <w:pPr>
              <w:jc w:val="center"/>
              <w:rPr>
                <w:rFonts w:hint="eastAsia"/>
                <w:vertAlign w:val="baseline"/>
                <w:lang w:val="en-US" w:eastAsia="zh-CN"/>
              </w:rPr>
            </w:pPr>
            <w:r>
              <w:rPr>
                <w:rFonts w:hint="eastAsia"/>
                <w:vertAlign w:val="baseline"/>
                <w:lang w:val="en-US" w:eastAsia="zh-CN"/>
              </w:rPr>
              <w:t>日期</w:t>
            </w:r>
          </w:p>
        </w:tc>
        <w:tc>
          <w:tcPr>
            <w:tcW w:w="1247" w:type="dxa"/>
          </w:tcPr>
          <w:p>
            <w:pPr>
              <w:jc w:val="center"/>
              <w:rPr>
                <w:rFonts w:hint="eastAsia"/>
                <w:vertAlign w:val="baseline"/>
                <w:lang w:val="en-US" w:eastAsia="zh-CN"/>
              </w:rPr>
            </w:pPr>
            <w:r>
              <w:rPr>
                <w:rFonts w:hint="eastAsia"/>
                <w:vertAlign w:val="baseline"/>
                <w:lang w:val="en-US" w:eastAsia="zh-CN"/>
              </w:rPr>
              <w:t>修订</w:t>
            </w:r>
          </w:p>
        </w:tc>
        <w:tc>
          <w:tcPr>
            <w:tcW w:w="4347" w:type="dxa"/>
          </w:tcPr>
          <w:p>
            <w:pPr>
              <w:jc w:val="cente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r>
              <w:rPr>
                <w:rFonts w:hint="eastAsia"/>
                <w:vertAlign w:val="baseline"/>
                <w:lang w:val="en-US" w:eastAsia="zh-CN"/>
              </w:rPr>
              <w:t>V0.1</w:t>
            </w:r>
          </w:p>
        </w:tc>
        <w:tc>
          <w:tcPr>
            <w:tcW w:w="1823" w:type="dxa"/>
          </w:tcPr>
          <w:p>
            <w:pPr>
              <w:rPr>
                <w:rFonts w:hint="eastAsia"/>
                <w:vertAlign w:val="baseline"/>
                <w:lang w:val="en-US" w:eastAsia="zh-CN"/>
              </w:rPr>
            </w:pPr>
            <w:r>
              <w:rPr>
                <w:rFonts w:hint="eastAsia"/>
                <w:vertAlign w:val="baseline"/>
                <w:lang w:val="en-US" w:eastAsia="zh-CN"/>
              </w:rPr>
              <w:t>2017-11-30</w:t>
            </w:r>
          </w:p>
        </w:tc>
        <w:tc>
          <w:tcPr>
            <w:tcW w:w="1247" w:type="dxa"/>
          </w:tcPr>
          <w:p>
            <w:pPr>
              <w:rPr>
                <w:rFonts w:hint="eastAsia"/>
                <w:vertAlign w:val="baseline"/>
                <w:lang w:val="en-US" w:eastAsia="zh-CN"/>
              </w:rPr>
            </w:pPr>
            <w:r>
              <w:rPr>
                <w:rFonts w:hint="eastAsia"/>
                <w:vertAlign w:val="baseline"/>
                <w:lang w:val="en-US" w:eastAsia="zh-CN"/>
              </w:rPr>
              <w:t>何欣</w:t>
            </w:r>
          </w:p>
        </w:tc>
        <w:tc>
          <w:tcPr>
            <w:tcW w:w="4347" w:type="dxa"/>
          </w:tcPr>
          <w:p>
            <w:pPr>
              <w:rPr>
                <w:rFonts w:hint="eastAsia"/>
                <w:vertAlign w:val="baseline"/>
                <w:lang w:val="en-US" w:eastAsia="zh-CN"/>
              </w:rPr>
            </w:pPr>
            <w:r>
              <w:rPr>
                <w:rFonts w:hint="eastAsia"/>
                <w:vertAlign w:val="baseline"/>
                <w:lang w:val="en-US" w:eastAsia="zh-CN"/>
              </w:rPr>
              <w:t>初次创建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rPr>
                <w:rFonts w:hint="eastAsia"/>
                <w:vertAlign w:val="baseline"/>
                <w:lang w:val="en-US" w:eastAsia="zh-CN"/>
              </w:rPr>
            </w:pPr>
          </w:p>
        </w:tc>
        <w:tc>
          <w:tcPr>
            <w:tcW w:w="1823" w:type="dxa"/>
          </w:tcPr>
          <w:p>
            <w:pPr>
              <w:rPr>
                <w:rFonts w:hint="eastAsia"/>
                <w:vertAlign w:val="baseline"/>
                <w:lang w:val="en-US" w:eastAsia="zh-CN"/>
              </w:rPr>
            </w:pPr>
          </w:p>
        </w:tc>
        <w:tc>
          <w:tcPr>
            <w:tcW w:w="1247" w:type="dxa"/>
          </w:tcPr>
          <w:p>
            <w:pPr>
              <w:rPr>
                <w:rFonts w:hint="eastAsia"/>
                <w:vertAlign w:val="baseline"/>
                <w:lang w:val="en-US" w:eastAsia="zh-CN"/>
              </w:rPr>
            </w:pPr>
          </w:p>
        </w:tc>
        <w:tc>
          <w:tcPr>
            <w:tcW w:w="4347" w:type="dxa"/>
          </w:tcPr>
          <w:p>
            <w:pPr>
              <w:rPr>
                <w:rFonts w:hint="eastAsia"/>
                <w:vertAlign w:val="baseline"/>
                <w:lang w:val="en-US" w:eastAsia="zh-CN"/>
              </w:rPr>
            </w:pPr>
          </w:p>
        </w:tc>
      </w:tr>
    </w:tbl>
    <w:p>
      <w:pPr>
        <w:rPr>
          <w:rFonts w:hint="eastAsia"/>
          <w:lang w:eastAsia="zh-CN"/>
        </w:rPr>
        <w:sectPr>
          <w:pgSz w:w="11906" w:h="16838"/>
          <w:pgMar w:top="1440" w:right="1800" w:bottom="1440" w:left="1800" w:header="851" w:footer="992" w:gutter="0"/>
          <w:cols w:space="425" w:num="1"/>
          <w:docGrid w:type="lines" w:linePitch="312" w:charSpace="0"/>
        </w:sectPr>
      </w:pPr>
    </w:p>
    <w:p>
      <w:pPr>
        <w:numPr>
          <w:ilvl w:val="0"/>
          <w:numId w:val="1"/>
        </w:numPr>
        <w:rPr>
          <w:rFonts w:hint="eastAsia"/>
          <w:lang w:val="en-US" w:eastAsia="zh-CN"/>
        </w:rPr>
      </w:pPr>
      <w:r>
        <w:rPr>
          <w:rFonts w:hint="eastAsia"/>
          <w:lang w:val="en-US" w:eastAsia="zh-CN"/>
        </w:rPr>
        <w:t>系统概述</w:t>
      </w:r>
    </w:p>
    <w:p>
      <w:pPr>
        <w:numPr>
          <w:ilvl w:val="0"/>
          <w:numId w:val="0"/>
        </w:numPr>
        <w:ind w:firstLine="420" w:firstLineChars="0"/>
        <w:rPr>
          <w:rFonts w:hint="eastAsia"/>
          <w:lang w:val="en-US" w:eastAsia="zh-CN"/>
        </w:rPr>
      </w:pPr>
      <w:r>
        <w:rPr>
          <w:rFonts w:hint="eastAsia"/>
          <w:lang w:val="en-US" w:eastAsia="zh-CN"/>
        </w:rPr>
        <w:t>莘宸托盘程序（以下简称托盘）是吧台收银前端页面与本地硬件数据交互时所需要的中间件，与页面前端通过WebSocket进行通讯，托盘程序再通过本地驱动与设备进行数据通讯。</w:t>
      </w:r>
    </w:p>
    <w:p>
      <w:pPr>
        <w:numPr>
          <w:ilvl w:val="0"/>
          <w:numId w:val="0"/>
        </w:numPr>
        <w:ind w:firstLine="420" w:firstLineChars="0"/>
        <w:rPr>
          <w:rFonts w:hint="eastAsia"/>
          <w:lang w:val="en-US" w:eastAsia="zh-CN"/>
        </w:rPr>
      </w:pPr>
      <w:r>
        <w:rPr>
          <w:rFonts w:hint="eastAsia"/>
          <w:lang w:val="en-US" w:eastAsia="zh-CN"/>
        </w:rPr>
        <w:t>托盘除了与硬件设备通讯控制外还需要承担收银机附屏的显示（展示给客户看的）。</w:t>
      </w:r>
    </w:p>
    <w:p>
      <w:pPr>
        <w:numPr>
          <w:ilvl w:val="0"/>
          <w:numId w:val="0"/>
        </w:numPr>
        <w:ind w:firstLine="420" w:firstLineChars="0"/>
        <w:rPr>
          <w:rFonts w:hint="eastAsia"/>
          <w:lang w:val="en-US" w:eastAsia="zh-CN"/>
        </w:rPr>
      </w:pPr>
      <w:r>
        <w:rPr>
          <w:rFonts w:hint="eastAsia"/>
          <w:lang w:val="en-US" w:eastAsia="zh-CN"/>
        </w:rPr>
        <w:t>目前托盘需要通讯的设备有售币机、碎票机、会员卡读卡器、身份证读卡器、加密狗、POS打印机、掌纹仪。</w:t>
      </w:r>
    </w:p>
    <w:p>
      <w:pPr>
        <w:numPr>
          <w:ilvl w:val="0"/>
          <w:numId w:val="1"/>
        </w:numPr>
        <w:rPr>
          <w:rFonts w:hint="eastAsia"/>
          <w:lang w:val="en-US" w:eastAsia="zh-CN"/>
        </w:rPr>
      </w:pPr>
      <w:r>
        <w:rPr>
          <w:rFonts w:hint="eastAsia"/>
          <w:lang w:val="en-US" w:eastAsia="zh-CN"/>
        </w:rPr>
        <w:t>系统框图</w:t>
      </w:r>
    </w:p>
    <w:p>
      <w:pPr>
        <w:numPr>
          <w:ilvl w:val="0"/>
          <w:numId w:val="0"/>
        </w:numPr>
        <w:rPr>
          <w:rFonts w:hint="eastAsia"/>
          <w:lang w:val="en-US" w:eastAsia="zh-CN"/>
        </w:rPr>
      </w:pPr>
      <w:r>
        <w:rPr>
          <w:rFonts w:hint="eastAsia"/>
          <w:lang w:val="en-US" w:eastAsia="zh-CN"/>
        </w:rPr>
        <w:drawing>
          <wp:inline distT="0" distB="0" distL="114300" distR="114300">
            <wp:extent cx="5269865" cy="2938145"/>
            <wp:effectExtent l="0" t="0" r="6985" b="14605"/>
            <wp:docPr id="2" name="图片 2" descr="托盘程序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托盘程序框图"/>
                    <pic:cNvPicPr>
                      <a:picLocks noChangeAspect="1"/>
                    </pic:cNvPicPr>
                  </pic:nvPicPr>
                  <pic:blipFill>
                    <a:blip r:embed="rId4"/>
                    <a:stretch>
                      <a:fillRect/>
                    </a:stretch>
                  </pic:blipFill>
                  <pic:spPr>
                    <a:xfrm>
                      <a:off x="0" y="0"/>
                      <a:ext cx="5269865" cy="2938145"/>
                    </a:xfrm>
                    <a:prstGeom prst="rect">
                      <a:avLst/>
                    </a:prstGeom>
                  </pic:spPr>
                </pic:pic>
              </a:graphicData>
            </a:graphic>
          </wp:inline>
        </w:drawing>
      </w:r>
    </w:p>
    <w:p>
      <w:pPr>
        <w:numPr>
          <w:ilvl w:val="0"/>
          <w:numId w:val="1"/>
        </w:numPr>
        <w:tabs>
          <w:tab w:val="clear" w:pos="312"/>
        </w:tabs>
        <w:rPr>
          <w:rFonts w:hint="eastAsia"/>
          <w:lang w:val="en-US" w:eastAsia="zh-CN"/>
        </w:rPr>
      </w:pPr>
      <w:r>
        <w:rPr>
          <w:rFonts w:hint="eastAsia"/>
          <w:lang w:val="en-US" w:eastAsia="zh-CN"/>
        </w:rPr>
        <w:t>功能简述</w:t>
      </w:r>
    </w:p>
    <w:p>
      <w:pPr>
        <w:numPr>
          <w:ilvl w:val="0"/>
          <w:numId w:val="0"/>
        </w:numPr>
        <w:ind w:firstLine="420" w:firstLineChars="0"/>
        <w:rPr>
          <w:rFonts w:hint="eastAsia"/>
          <w:lang w:val="en-US" w:eastAsia="zh-CN"/>
        </w:rPr>
      </w:pPr>
      <w:r>
        <w:rPr>
          <w:rFonts w:hint="eastAsia"/>
          <w:lang w:val="en-US" w:eastAsia="zh-CN"/>
        </w:rPr>
        <w:t>运行在需要在莘宸任何平台下访问硬件资源的电脑上，以winform方式运行在系统托盘中。打开websocket侦听端口，获取来自页面的任务请求，将硬件通讯结果数据反馈给页面。</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加密狗：</w:t>
      </w:r>
    </w:p>
    <w:p>
      <w:pPr>
        <w:numPr>
          <w:ilvl w:val="0"/>
          <w:numId w:val="0"/>
        </w:numPr>
        <w:ind w:firstLine="420" w:firstLineChars="0"/>
        <w:rPr>
          <w:rFonts w:hint="eastAsia"/>
          <w:lang w:val="en-US" w:eastAsia="zh-CN"/>
        </w:rPr>
      </w:pPr>
      <w:r>
        <w:rPr>
          <w:rFonts w:hint="eastAsia"/>
          <w:lang w:val="en-US" w:eastAsia="zh-CN"/>
        </w:rPr>
        <w:t>由厂商提供API进行操作。任何平台在登录授权时需检查此项，将加密狗号做为业务服务请求参数上报到服务器。如果加密狗为检查成功则关闭当前页面。</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掌纹仪：</w:t>
      </w:r>
    </w:p>
    <w:p>
      <w:pPr>
        <w:numPr>
          <w:ilvl w:val="0"/>
          <w:numId w:val="0"/>
        </w:numPr>
        <w:ind w:firstLine="420" w:firstLineChars="0"/>
        <w:rPr>
          <w:rFonts w:hint="eastAsia"/>
          <w:lang w:val="en-US" w:eastAsia="zh-CN"/>
        </w:rPr>
      </w:pPr>
      <w:r>
        <w:rPr>
          <w:rFonts w:hint="eastAsia"/>
          <w:lang w:val="en-US" w:eastAsia="zh-CN"/>
        </w:rPr>
        <w:t>在系统业务逻辑设定中如果指定该业务流程需要验证或采集掌纹数据则通过厂家提供的API驱动进行数据获取或验证。</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会员卡读卡器：</w:t>
      </w:r>
    </w:p>
    <w:p>
      <w:pPr>
        <w:numPr>
          <w:ilvl w:val="0"/>
          <w:numId w:val="0"/>
        </w:numPr>
        <w:ind w:firstLine="420" w:firstLineChars="0"/>
        <w:rPr>
          <w:rFonts w:hint="eastAsia"/>
          <w:lang w:val="en-US" w:eastAsia="zh-CN"/>
        </w:rPr>
      </w:pPr>
      <w:r>
        <w:rPr>
          <w:rFonts w:hint="eastAsia"/>
          <w:lang w:val="en-US" w:eastAsia="zh-CN"/>
        </w:rPr>
        <w:t>在所有会员卡操作的时候均需要识别实体会员卡，并回写会员卡数据。此项功能由厂商API驱动来控制。</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身份证阅读器：</w:t>
      </w:r>
    </w:p>
    <w:p>
      <w:pPr>
        <w:numPr>
          <w:ilvl w:val="0"/>
          <w:numId w:val="0"/>
        </w:numPr>
        <w:ind w:firstLine="420" w:firstLineChars="0"/>
        <w:rPr>
          <w:rFonts w:hint="eastAsia"/>
          <w:lang w:val="en-US" w:eastAsia="zh-CN"/>
        </w:rPr>
      </w:pPr>
      <w:r>
        <w:rPr>
          <w:rFonts w:hint="eastAsia"/>
          <w:lang w:val="en-US" w:eastAsia="zh-CN"/>
        </w:rPr>
        <w:t>在系统业务逻辑设定中</w:t>
      </w:r>
      <w:bookmarkStart w:id="0" w:name="_GoBack"/>
      <w:bookmarkEnd w:id="0"/>
      <w:r>
        <w:rPr>
          <w:rFonts w:hint="eastAsia"/>
          <w:lang w:val="en-US" w:eastAsia="zh-CN"/>
        </w:rPr>
        <w:t>如果指定该业务流程需要实名制则需要采集身份证信息并写入数据库中，身份证阅读器驱动由厂商API提供。</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POS打印机：</w:t>
      </w:r>
    </w:p>
    <w:p>
      <w:pPr>
        <w:numPr>
          <w:ilvl w:val="0"/>
          <w:numId w:val="0"/>
        </w:numPr>
        <w:ind w:firstLine="420" w:firstLineChars="0"/>
        <w:rPr>
          <w:rFonts w:hint="eastAsia"/>
          <w:lang w:val="en-US" w:eastAsia="zh-CN"/>
        </w:rPr>
      </w:pPr>
      <w:r>
        <w:rPr>
          <w:rFonts w:hint="eastAsia"/>
          <w:lang w:val="en-US" w:eastAsia="zh-CN"/>
        </w:rPr>
        <w:t>在所有业务处理完毕后均可选择打印业务凭条，驱动直接采用windows打印方法，或者采用framework的绘图方式打印。</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售币机：</w:t>
      </w:r>
    </w:p>
    <w:p>
      <w:pPr>
        <w:numPr>
          <w:ilvl w:val="0"/>
          <w:numId w:val="0"/>
        </w:numPr>
        <w:ind w:firstLine="420" w:firstLineChars="0"/>
        <w:rPr>
          <w:rFonts w:hint="eastAsia"/>
          <w:lang w:val="en-US" w:eastAsia="zh-CN"/>
        </w:rPr>
      </w:pPr>
      <w:r>
        <w:rPr>
          <w:rFonts w:hint="eastAsia"/>
          <w:lang w:val="en-US" w:eastAsia="zh-CN"/>
        </w:rPr>
        <w:t>在处理币业务时，需要通过串口驱动售币机进行出币，并将出币结果需要反馈到页面。</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附屏显示：</w:t>
      </w:r>
    </w:p>
    <w:p>
      <w:pPr>
        <w:numPr>
          <w:ilvl w:val="0"/>
          <w:numId w:val="0"/>
        </w:numPr>
        <w:ind w:firstLine="420" w:firstLineChars="0"/>
        <w:rPr>
          <w:rFonts w:hint="eastAsia"/>
          <w:lang w:val="en-US" w:eastAsia="zh-CN"/>
        </w:rPr>
      </w:pPr>
      <w:r>
        <w:rPr>
          <w:rFonts w:hint="eastAsia"/>
          <w:lang w:val="en-US" w:eastAsia="zh-CN"/>
        </w:rPr>
        <w:t>此项功能为扩展功能，如果系统采用双屏显示，则将当前业务订单处理信息以及处理结果显示在附屏上，展示给客户。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E7210"/>
    <w:multiLevelType w:val="singleLevel"/>
    <w:tmpl w:val="5A1E721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A71040"/>
    <w:rsid w:val="68053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2017-11-30T01:12:12Z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