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"StoreId": "100016360103001", //开卡门店号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"StoreName": "南昌东西湖店",  //开卡门店名称</w:t>
      </w:r>
      <w:bookmarkStart w:id="5" w:name="_GoBack"/>
      <w:bookmarkEnd w:id="5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4"/>
      <w:bookmarkStart w:id="1" w:name="OLE_LINK5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投币规则 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散客投币 1 会员投币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获取会员个人资料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2"/>
          <w:lang w:eastAsia="zh-CN"/>
        </w:rPr>
        <w:t>获取充值套餐列表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Member?action=getRechargeFood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158,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</w:t>
      </w:r>
      <w:r>
        <w:rPr>
          <w:rFonts w:hint="eastAsia" w:asciiTheme="minorEastAsia" w:hAnsiTheme="minorEastAsia" w:cstheme="minorEastAsia"/>
          <w:sz w:val="24"/>
          <w:lang w:eastAsia="zh-CN"/>
        </w:rPr>
        <w:t>套餐测试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//套餐类别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"http://192.168.1.145/Imgs/13.jpg",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//图片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null,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"95.00"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//价格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"新测试1",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674,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"http://192.168.1.145/Imgs/15.jpg",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"666",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"50.00"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"http://192.168.1.145/Imgs/16.jpg",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"小黄人测试",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"99.00"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9"/>
  </w:num>
  <w:num w:numId="5">
    <w:abstractNumId w:val="3"/>
  </w:num>
  <w:num w:numId="6">
    <w:abstractNumId w:val="18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12"/>
  </w:num>
  <w:num w:numId="15">
    <w:abstractNumId w:val="14"/>
  </w:num>
  <w:num w:numId="16">
    <w:abstractNumId w:val="4"/>
    <w:lvlOverride w:ilvl="0">
      <w:startOverride w:val="1"/>
    </w:lvlOverride>
  </w:num>
  <w:num w:numId="17">
    <w:abstractNumId w:val="15"/>
  </w:num>
  <w:num w:numId="18">
    <w:abstractNumId w:val="16"/>
  </w:num>
  <w:num w:numId="19">
    <w:abstractNumId w:val="13"/>
  </w:num>
  <w:num w:numId="20">
    <w:abstractNumId w:val="17"/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9"/>
  </w:num>
  <w:num w:numId="25">
    <w:abstractNumId w:val="4"/>
    <w:lvlOverride w:ilvl="0">
      <w:startOverride w:val="1"/>
    </w:lvlOverride>
  </w:num>
  <w:num w:numId="26">
    <w:abstractNumId w:val="10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BB527B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179CE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3442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EE432D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055DAB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2018-06-21T07:17:19Z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