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本文适用于所有服务中通过Socket或者WebSocket通讯的数据格式规范约束。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2097" w:tblpY="2"/>
        <w:tblOverlap w:val="never"/>
        <w:tblW w:w="8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837"/>
        <w:gridCol w:w="663"/>
        <w:gridCol w:w="853"/>
        <w:gridCol w:w="900"/>
        <w:gridCol w:w="908"/>
        <w:gridCol w:w="908"/>
        <w:gridCol w:w="797"/>
        <w:gridCol w:w="687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引导</w:t>
            </w:r>
          </w:p>
        </w:tc>
        <w:tc>
          <w:tcPr>
            <w:tcW w:w="6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帧序号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帧总数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指令字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  <w:lang w:val="en-US" w:eastAsia="zh-CN"/>
              </w:rPr>
              <w:t>尾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0xFEFE</w:t>
            </w:r>
          </w:p>
        </w:tc>
        <w:tc>
          <w:tcPr>
            <w:tcW w:w="6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0x68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0xFF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0xFF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0xFF</w:t>
            </w:r>
            <w:bookmarkStart w:id="0" w:name="_GoBack"/>
            <w:bookmarkEnd w:id="0"/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ata)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0x16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0xFEFE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帧结构说明：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引导区是为了防止帧数据之间黏包导致数据错误；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每帧数据长度不能超过8192个字节，超出部分需要进行帧拆分；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帧序号、帧总数用来判定数据帧是否接缓存完成进行长帧拼接；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数据中采用UTF-8方式发送JSON结构数据；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数据区中不区分字符大小写；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数据区必须包含Result_Msg和Result_Code节点；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数据区中包含SignKey节点时需要根据指令类别进行相应的签名运算；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4166"/>
    <w:multiLevelType w:val="singleLevel"/>
    <w:tmpl w:val="59F041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2606"/>
    <w:rsid w:val="3CA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