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0"/>
        <w:jc w:val="center"/>
      </w:pPr>
      <w:r>
        <w:rPr>
          <w:rFonts w:ascii="Times New Roman" w:hAnsi="Times New Roman" w:eastAsia="標楷體"/>
          <w:b/>
          <w:sz w:val="52"/>
        </w:rPr>
        <w:t>台灣國立大學</w:t>
      </w:r>
    </w:p>
    <w:p>
      <w:pPr>
        <w:spacing w:before="0" w:after="120"/>
        <w:jc w:val="center"/>
      </w:pPr>
      <w:r>
        <w:rPr>
          <w:rFonts w:ascii="Times New Roman" w:hAnsi="Times New Roman" w:eastAsia="標楷體"/>
          <w:b/>
          <w:sz w:val="60"/>
        </w:rPr>
        <w:t>《軟體測試》</w:t>
      </w:r>
    </w:p>
    <w:p>
      <w:pPr>
        <w:spacing w:before="0" w:after="600"/>
        <w:jc w:val="center"/>
      </w:pPr>
      <w:r>
        <w:rPr>
          <w:rFonts w:ascii="Times New Roman" w:hAnsi="Times New Roman" w:eastAsia="標楷體"/>
          <w:b/>
          <w:sz w:val="60"/>
        </w:rPr>
        <w:t>白盒測試報告</w:t>
      </w:r>
    </w:p>
    <w:p>
      <w:pPr>
        <w:spacing w:before="0" w:after="960"/>
        <w:jc w:val="center"/>
      </w:pPr>
      <w:r>
        <w:rPr>
          <w:rFonts w:ascii="Times New Roman" w:hAnsi="Times New Roman" w:eastAsia="標楷體"/>
          <w:b w:val="0"/>
          <w:sz w:val="28"/>
        </w:rPr>
        <w:t>—— 核心邏輯模組之語句／判定／條件覆蓋測試 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課程名稱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軟體測試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被測系統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Automation Exercise 核心邏輯模組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測試方法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白盒測試（覆蓋率分析）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姓　　名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〔手寫〕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學　　號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〔手寫〕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指導老師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張　導師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8"/>
              </w:rPr>
              <w:t>日　　期</w:t>
            </w:r>
          </w:p>
        </w:tc>
        <w:tc>
          <w:tcPr>
            <w:tcW w:type="dxa" w:w="5953"/>
          </w:tcPr>
          <w:p>
            <w:pPr>
              <w:jc w:val="left"/>
            </w:pPr>
            <w:r/>
            <w:r>
              <w:rPr>
                <w:rFonts w:ascii="Times New Roman" w:hAnsi="Times New Roman" w:eastAsia="標楷體"/>
                <w:b w:val="0"/>
                <w:sz w:val="28"/>
              </w:rPr>
              <w:t>中華民國　　年　　月　　日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Times New Roman" w:hAnsi="Times New Roman" w:eastAsia="標楷體"/>
          <w:b/>
          <w:color w:val="000000"/>
          <w:sz w:val="32"/>
        </w:rPr>
        <w:t>一、白盒測試概述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1.1 測試目的與方法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白盒測試（又稱結構測試）以程式的內部邏輯結構為依據設計測試用例，要求測試人員了解原始碼的控制流程。本報告針對 Automation Exercise 電子商務系統之兩個核心邏輯模組——「購物車訂單金額計算」與「商品價格冒泡排序」——繪製程式流程圖，並依下列三種邏輯覆蓋準則設計測試用例，量化覆蓋程度：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覆蓋準則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定義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強度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語句覆蓋 (Statement)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設計用例使程式中每一條可執行語句至少被執行一次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判定覆蓋 (Decision/Branch)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使每個判定（分支）的取真與取假至少各執行一次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較強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條件覆蓋 (Condition)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使每個判定中每一個原子條件的真、假取值至少各出現一次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較強</w:t>
            </w:r>
          </w:p>
        </w:tc>
      </w:tr>
    </w:tbl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三者強弱關係：語句覆蓋 ＜ 判定覆蓋；條件覆蓋著重於複合判定中各原子條件的取值，常與判定覆蓋互補。本報告對含複合條件的判定（D3）特別進行條件覆蓋設計。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1.2 被測核心模組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模組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函式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說明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對應業務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模組一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calc_order_amount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依會員等級折扣、滿額立減、優惠券計算訂單應付金額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購物車結帳金額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模組二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bubble_sort_by_price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將商品依價格升序排序（冒泡排序，含提前結束最佳化）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商品排序顯示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標楷體"/>
          <w:b/>
          <w:color w:val="000000"/>
          <w:sz w:val="32"/>
        </w:rPr>
        <w:t>二、模組一：購物車訂單金額計算（calc_order_amount）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2.1 被測原始碼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>def calc_order_amount(items, member_level, coupon=0):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subtotal = 0                                  # S1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for price, qty in items:                      # S2  迴圈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subtotal += price * qty                   # S3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if member_level == 2:                          # D1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discount = 0.90                            # S5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elif member_level == 1:                        # D2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discount = 0.95                            # S7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else: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discount = 1.0                             # S8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total = subtotal * discount                    # S9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if member_level &gt;= 1 and subtotal &gt;= 1000:     # D3 (C1 且 C2)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total -= 100                               # S11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total -= coupon                                # S12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if total &lt; 0:                                  # D4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total = 0                                  # S14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return round(total, 2)                          # S15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2.2 程式流程圖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76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B-1_購物車金額計算流程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6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標楷體"/>
          <w:b/>
          <w:sz w:val="21"/>
        </w:rPr>
        <w:t>圖B-1　calc_order_amount 程式流程圖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2.3 控制流程節點與判定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本模組共有 4 個判定節點，其中 D3 為複合條件判定，包含兩個原子條件：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判定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條件式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說明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D1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member_level == 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是否 VIP（折扣 0.90）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D2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member_level == 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是否一般會員（折扣 0.95）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D3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member_level &gt;= 1 且 subtotal &gt;= 1000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複合條件：C1=會員、C2=滿千 → 立減 100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D4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total &lt; 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金額是否為負（防負歸零）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2.4 語句覆蓋測試用例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下列 4 條用例使 S1～S15 之每一條可執行語句皆至少執行一次，語句覆蓋率達 100%。</w:t>
      </w:r>
    </w:p>
    <w:p>
      <w:pPr>
        <w:spacing w:before="120" w:after="40"/>
        <w:jc w:val="center"/>
      </w:pPr>
      <w:r>
        <w:rPr>
          <w:rFonts w:ascii="Times New Roman" w:hAnsi="Times New Roman" w:eastAsia="標楷體"/>
          <w:b/>
          <w:sz w:val="21"/>
        </w:rPr>
        <w:t>表B-1　語句覆蓋測試用例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用例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items（單價,數量）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member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coupon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涵蓋語句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預期回傳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TC-W01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[(600,2)]→1200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S1-S3,S5,S9,S11,S15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980.0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TC-W02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[(300,1)]→300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S7,S9,S12,S15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285.0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TC-W03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[(100,1)]→100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S8,S9,S15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100.0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TC-W04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[(50,1)]→50</w:t>
            </w:r>
          </w:p>
        </w:tc>
        <w:tc>
          <w:tcPr>
            <w:tcW w:type="dxa" w:w="79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80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S7,S12,S14,S15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0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2.5 判定覆蓋測試用例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下列用例使 D1～D4 每個判定的「真」「假」分支各至少執行一次，判定覆蓋率達 100%。</w:t>
      </w:r>
    </w:p>
    <w:p>
      <w:pPr>
        <w:spacing w:before="120" w:after="40"/>
        <w:jc w:val="center"/>
      </w:pPr>
      <w:r>
        <w:rPr>
          <w:rFonts w:ascii="Times New Roman" w:hAnsi="Times New Roman" w:eastAsia="標楷體"/>
          <w:b/>
          <w:sz w:val="21"/>
        </w:rPr>
        <w:t>表B-2　判定覆蓋測試用例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判定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取真（T）用例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20"/>
              </w:rPr>
              <w:t>取假（F）用例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D1 member==2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TC-W01（member=2）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TC-W02/03/04（member≠2）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D2 member==1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TC-W02（member=1）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TC-W03（member=0）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D3 會員且滿千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TC-W01（會員且1200）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TC-W02/03/04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D4 total&lt;0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TC-W04（-32.5→0）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TC-W01/02/03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2.6 條件覆蓋測試用例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針對複合判定 D3＝(C1：member_level≥1) 且 (C2：subtotal≥1000)，設計用例使每個原子條件的真、假各出現一次，條件覆蓋率達 100%（並同時滿足判定-條件組合覆蓋）。</w:t>
      </w:r>
    </w:p>
    <w:p>
      <w:pPr>
        <w:spacing w:before="120" w:after="40"/>
        <w:jc w:val="center"/>
      </w:pPr>
      <w:r>
        <w:rPr>
          <w:rFonts w:ascii="Times New Roman" w:hAnsi="Times New Roman" w:eastAsia="標楷體"/>
          <w:b/>
          <w:sz w:val="21"/>
        </w:rPr>
        <w:t>表B-3　D3 條件覆蓋測試用例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8"/>
              </w:rPr>
              <w:t>用例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8"/>
              </w:rPr>
              <w:t>items→subtotal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8"/>
              </w:rPr>
              <w:t>member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8"/>
              </w:rPr>
              <w:t>C1:≥1會員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8"/>
              </w:rPr>
              <w:t>C2:≥1000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8"/>
              </w:rPr>
              <w:t>D3 結果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8"/>
              </w:rPr>
              <w:t>預期回傳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TC-W01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[(600,2)]→1200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T（立減）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980.0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TC-W02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[(300,1)]→300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F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F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285.0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TC-W05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[(800,2)]→1600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F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1600.0</w:t>
            </w:r>
          </w:p>
        </w:tc>
      </w:tr>
      <w:tr>
        <w:tc>
          <w:tcPr>
            <w:tcW w:type="dxa" w:w="96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TC-W03</w:t>
            </w:r>
          </w:p>
        </w:tc>
        <w:tc>
          <w:tcPr>
            <w:tcW w:type="dxa" w:w="187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[(100,1)]→100</w:t>
            </w:r>
          </w:p>
        </w:tc>
        <w:tc>
          <w:tcPr>
            <w:tcW w:type="dxa" w:w="737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F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F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F</w:t>
            </w:r>
          </w:p>
        </w:tc>
        <w:tc>
          <w:tcPr>
            <w:tcW w:type="dxa" w:w="119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100.0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標楷體"/>
          <w:b/>
          <w:color w:val="000000"/>
          <w:sz w:val="32"/>
        </w:rPr>
        <w:t>三、模組二：商品價格冒泡排序（bubble_sort_by_price）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3.1 被測原始碼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>def bubble_sort_by_price(products):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arr = list(products)                # B1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n = len(arr)                        # B1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for i in range(n - 1):              # B2 外層迴圈  DB1: i &lt; n-1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swapped = False                 # B3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for j in range(n - 1 - i):      # B4 內層迴圈  DB2: j &lt; n-1-i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    if arr[j][1] &gt; arr[j+1][1]: # B5  DB3: 相鄰價格比較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        arr[j], arr[j+1] = arr[j+1], arr[j]   # B6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        swapped = True          # B6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if not swapped:                 # B7  DB4: 本趟未交換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        break                       # B7  提前結束</w:t>
      </w:r>
    </w:p>
    <w:p>
      <w:pPr>
        <w:spacing w:line="240" w:lineRule="auto" w:after="0"/>
        <w:ind w:left="240"/>
      </w:pPr>
      <w:r>
        <w:rPr>
          <w:rFonts w:ascii="Consolas" w:hAnsi="Consolas" w:eastAsia="仿宋"/>
          <w:b w:val="0"/>
          <w:sz w:val="19"/>
        </w:rPr>
        <w:t xml:space="preserve">    return arr                          # B8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3.2 程式流程圖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310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圖B-2_商品排序冒泡流程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3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Times New Roman" w:hAnsi="Times New Roman" w:eastAsia="標楷體"/>
          <w:b/>
          <w:sz w:val="21"/>
        </w:rPr>
        <w:t>圖B-2　bubble_sort_by_price 程式流程圖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3.3 語句與判定覆蓋測試用例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本模組含 4 個判定：DB1（外層 i&lt;n-1）、DB2（內層 j&lt;n-1-i）、DB3（相鄰價格比較）、DB4（本趟未交換則 break）。下列用例使全部語句執行一次、且各判定真假分支皆覆蓋。</w:t>
      </w:r>
    </w:p>
    <w:p>
      <w:pPr>
        <w:spacing w:before="120" w:after="40"/>
        <w:jc w:val="center"/>
      </w:pPr>
      <w:r>
        <w:rPr>
          <w:rFonts w:ascii="Times New Roman" w:hAnsi="Times New Roman" w:eastAsia="標楷體"/>
          <w:b/>
          <w:sz w:val="21"/>
        </w:rPr>
        <w:t>表B-4　語句／判定覆蓋測試用例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用例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輸入（名稱,價格）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涵蓋重點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DB1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DB2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DB3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DB4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7"/>
              </w:rPr>
              <w:t>預期輸出（價格序）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TC-S01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[(A,30),(B,20),(C,10)]（反序）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多次交換，走完全部趟次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T/F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T/F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T/F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F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10,20,30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TC-S02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[(A,10),(B,20),(C,30)]（已序）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首趟無交換→break 提前結束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T/F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F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10,20,30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TC-S03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[(A,5)]（單一元素）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外層迴圈零次，直接 return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F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7"/>
              </w:rPr>
              <w:t>5</w:t>
            </w:r>
          </w:p>
        </w:tc>
      </w:tr>
    </w:tbl>
    <w:p>
      <w:pPr>
        <w:spacing w:line="360" w:lineRule="auto" w:after="80"/>
        <w:ind w:firstLine="440"/>
      </w:pPr>
      <w:r>
        <w:rPr>
          <w:rFonts w:ascii="Times New Roman" w:hAnsi="Times New Roman" w:eastAsia="仿宋"/>
          <w:b w:val="0"/>
          <w:sz w:val="22"/>
        </w:rPr>
        <w:t>綜合 TC-S01～S03：語句 B1～B8 全部覆蓋（B6 由 S01、B7 break 由 S02），DB1～DB4 之真假分支皆覆蓋，語句與判定覆蓋率均達 100%。</w:t>
      </w:r>
    </w:p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3.4 邊界值與迴圈覆蓋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排序屬迴圈密集邏輯，另設計邊界與迴圈覆蓋用例（零次、一次、典型多次、相等元素），驗證邊界健壯性。</w:t>
      </w:r>
    </w:p>
    <w:p>
      <w:pPr>
        <w:spacing w:before="120" w:after="40"/>
        <w:jc w:val="center"/>
      </w:pPr>
      <w:r>
        <w:rPr>
          <w:rFonts w:ascii="Times New Roman" w:hAnsi="Times New Roman" w:eastAsia="標楷體"/>
          <w:b/>
          <w:sz w:val="21"/>
        </w:rPr>
        <w:t>表B-5　邊界與迴圈覆蓋測試用例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用例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輸入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覆蓋類型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預期輸出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TC-S04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[]（空串列）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迴圈執行 0 次（n=0）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[]（不崩潰）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TC-S05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[(A,5)]（1 元素）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外層迴圈 0 次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[(A,5)]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TC-S06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[(A,20),(B,10)]（2 元素）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迴圈最小有效次數，1 次交換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10,20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TC-S07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[(A,10),(B,10),(C,5)]（含相等）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DB3 取「等於」邊界（&gt;為假，不交換）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5,10,10（穩定）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TC-S08</w:t>
            </w:r>
          </w:p>
        </w:tc>
        <w:tc>
          <w:tcPr>
            <w:tcW w:type="dxa" w:w="306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[(A,30),(B,20),(C,10)]（完全反序）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迴圈最多次數、最多交換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仿宋"/>
                <w:b w:val="0"/>
                <w:sz w:val="18"/>
              </w:rPr>
              <w:t>10,20,30</w:t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標楷體"/>
          <w:b/>
          <w:color w:val="000000"/>
          <w:sz w:val="32"/>
        </w:rPr>
        <w:t>四、覆蓋率匯總與結論</w:t>
      </w:r>
    </w:p>
    <w:p>
      <w:pPr>
        <w:spacing w:before="120" w:after="40"/>
        <w:jc w:val="center"/>
      </w:pPr>
      <w:r>
        <w:rPr>
          <w:rFonts w:ascii="Times New Roman" w:hAnsi="Times New Roman" w:eastAsia="標楷體"/>
          <w:b/>
          <w:sz w:val="21"/>
        </w:rPr>
        <w:t>表B-6　白盒測試覆蓋率匯總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被測模組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判定數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語句覆蓋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判定覆蓋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條件覆蓋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標楷體"/>
                <w:b/>
                <w:sz w:val="19"/>
              </w:rPr>
              <w:t>用例數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calc_order_amount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100%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5（W01-W05）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bubble_sort_by_price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100%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100%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—（無複合條件）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仿宋"/>
                <w:b w:val="0"/>
                <w:sz w:val="19"/>
              </w:rPr>
              <w:t>8（S01-S08）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hAnsi="Times New Roman" w:eastAsia="標楷體"/>
          <w:b/>
          <w:color w:val="000000"/>
          <w:sz w:val="28"/>
        </w:rPr>
        <w:t>4.1 結論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（1）透過繪製程式流程圖釐清兩個核心模組的控制流程後，依語句、判定、條件三種覆蓋準則設計測試用例，兩模組之語句覆蓋與判定覆蓋率均達 100%；對含複合條件的判定 D3 另以條件覆蓋驗證，亦達 100%。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（2）白盒測試補足了黑盒測試難以觸及的內部分支：例如 calc_order_amount 中「會員且滿千」之複合條件、防負歸零分支，以及冒泡排序「本趟未交換即提前結束」之最佳化分支，均經由結構分析設計出對應用例予以覆蓋。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（3）建議：可進一步引入路徑覆蓋與條件組合覆蓋以提高強度，並以 coverage.py 等工具於 CI 流程中自動量測實際覆蓋率，使結構測試結果可持續追蹤。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仿宋"/>
          <w:b w:val="0"/>
          <w:sz w:val="24"/>
        </w:rPr>
        <w:t>本白盒測試與功能（黑盒）、API、效能測試相互補充，共同構成本次《軟體測試》大作業之完整測試體系。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