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0"/>
        <w:jc w:val="center"/>
      </w:pPr>
      <w:r>
        <w:rPr>
          <w:rFonts w:ascii="Times New Roman" w:hAnsi="Times New Roman" w:eastAsia="標楷體"/>
          <w:b/>
          <w:sz w:val="52"/>
        </w:rPr>
        <w:t>台灣國立大學</w:t>
      </w:r>
    </w:p>
    <w:p>
      <w:pPr>
        <w:spacing w:before="0" w:after="120"/>
        <w:jc w:val="center"/>
      </w:pPr>
      <w:r>
        <w:rPr>
          <w:rFonts w:ascii="Times New Roman" w:hAnsi="Times New Roman" w:eastAsia="標楷體"/>
          <w:b/>
          <w:sz w:val="60"/>
        </w:rPr>
        <w:t>《軟體測試》</w:t>
      </w:r>
    </w:p>
    <w:p>
      <w:pPr>
        <w:spacing w:before="0" w:after="600"/>
        <w:jc w:val="center"/>
      </w:pPr>
      <w:r>
        <w:rPr>
          <w:rFonts w:ascii="Times New Roman" w:hAnsi="Times New Roman" w:eastAsia="標楷體"/>
          <w:b/>
          <w:sz w:val="60"/>
        </w:rPr>
        <w:t>白盒測試報告</w:t>
      </w:r>
    </w:p>
    <w:p>
      <w:pPr>
        <w:spacing w:before="0" w:after="960"/>
        <w:jc w:val="center"/>
      </w:pPr>
      <w:r>
        <w:rPr>
          <w:rFonts w:ascii="Times New Roman" w:hAnsi="Times New Roman" w:eastAsia="標楷體"/>
          <w:b w:val="0"/>
          <w:sz w:val="28"/>
        </w:rPr>
        <w:t>—— 核心邏輯模組之語句／判定／條件覆蓋測試 ——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標楷體"/>
                <w:b/>
                <w:sz w:val="28"/>
              </w:rPr>
              <w:t>課程名稱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28"/>
              </w:rPr>
              <w:t>軟體測試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標楷體"/>
                <w:b/>
                <w:sz w:val="28"/>
              </w:rPr>
              <w:t>被測系統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28"/>
              </w:rPr>
              <w:t>Automation Exercise 核心邏輯模組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標楷體"/>
                <w:b/>
                <w:sz w:val="28"/>
              </w:rPr>
              <w:t>測試方法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28"/>
              </w:rPr>
              <w:t>白盒測試（覆蓋率分析）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標楷體"/>
                <w:b/>
                <w:sz w:val="28"/>
              </w:rPr>
              <w:t>姓　　名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28"/>
              </w:rPr>
              <w:t>〔手寫〕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標楷體"/>
                <w:b/>
                <w:sz w:val="28"/>
              </w:rPr>
              <w:t>學　　號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28"/>
              </w:rPr>
              <w:t>〔手寫〕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標楷體"/>
                <w:b/>
                <w:sz w:val="28"/>
              </w:rPr>
              <w:t>指導老師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28"/>
              </w:rPr>
              <w:t>張　導師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標楷體"/>
                <w:b/>
                <w:sz w:val="28"/>
              </w:rPr>
              <w:t>日　　期</w:t>
            </w:r>
          </w:p>
        </w:tc>
        <w:tc>
          <w:tcPr>
            <w:tcW w:type="dxa" w:w="5953"/>
          </w:tcPr>
          <w:p>
            <w:pPr>
              <w:jc w:val="left"/>
            </w:pPr>
            <w:r/>
            <w:r>
              <w:rPr>
                <w:rFonts w:ascii="Times New Roman" w:hAnsi="Times New Roman" w:eastAsia="標楷體"/>
                <w:b w:val="0"/>
                <w:sz w:val="28"/>
              </w:rPr>
              <w:t>中華民國　　年　　月　　日</w:t>
            </w:r>
          </w:p>
        </w:tc>
      </w:tr>
    </w:tbl>
    <w:p>
      <w:r>
        <w:br w:type="page"/>
      </w:r>
    </w:p>
    <w:p>
      <w:pPr>
        <w:pStyle w:val="Heading1"/>
        <w:spacing w:before="240" w:after="120"/>
      </w:pPr>
      <w:r>
        <w:rPr>
          <w:rFonts w:ascii="Times New Roman" w:hAnsi="Times New Roman" w:eastAsia="標楷體"/>
          <w:b/>
          <w:color w:val="000000"/>
          <w:sz w:val="32"/>
        </w:rPr>
        <w:t>一、白盒測試概述</w:t>
      </w:r>
    </w:p>
    <w:p>
      <w:pPr>
        <w:pStyle w:val="Heading2"/>
        <w:spacing w:before="240" w:after="120"/>
      </w:pPr>
      <w:r>
        <w:rPr>
          <w:rFonts w:ascii="Times New Roman" w:hAnsi="Times New Roman" w:eastAsia="標楷體"/>
          <w:b/>
          <w:color w:val="000000"/>
          <w:sz w:val="28"/>
        </w:rPr>
        <w:t>1.1 測試目的與方法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仿宋"/>
          <w:b w:val="0"/>
          <w:sz w:val="24"/>
        </w:rPr>
        <w:t>白盒測試（又稱結構測試）以程式的內部邏輯結構為依據設計測試用例，要求測試人員了解原始碼的控制流程。本報告針對 Automation Exercise 電子商務系統之兩個核心邏輯模組——「購物車訂單金額計算」與「商品價格冒泡排序」——繪製程式流程圖，並依三種邏輯覆蓋準則設計測試用例，量化覆蓋程度：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仿宋"/>
          <w:b w:val="0"/>
          <w:sz w:val="24"/>
        </w:rPr>
        <w:t>（1）語句覆蓋（Statement）：使程式中每一條可執行語句至少被執行一次，強度最弱。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仿宋"/>
          <w:b w:val="0"/>
          <w:sz w:val="24"/>
        </w:rPr>
        <w:t>（2）判定覆蓋（Decision/Branch）：使每個判定（分支）的取真與取假至少各執行一次，強度較語句覆蓋為強。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仿宋"/>
          <w:b w:val="0"/>
          <w:sz w:val="24"/>
        </w:rPr>
        <w:t>（3）條件覆蓋（Condition）：使每個判定中每一個原子條件的真、假取值至少各出現一次，著重複合判定中各原子條件的取值，常與判定覆蓋互補。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仿宋"/>
          <w:b w:val="0"/>
          <w:sz w:val="24"/>
        </w:rPr>
        <w:t>三者強弱關係為「語句覆蓋 ＜ 判定覆蓋」，本報告對含複合條件的判定（D3）特別進行條件覆蓋設計。</w:t>
      </w:r>
    </w:p>
    <w:p>
      <w:pPr>
        <w:pStyle w:val="Heading2"/>
        <w:spacing w:before="240" w:after="120"/>
      </w:pPr>
      <w:r>
        <w:rPr>
          <w:rFonts w:ascii="Times New Roman" w:hAnsi="Times New Roman" w:eastAsia="標楷體"/>
          <w:b/>
          <w:color w:val="000000"/>
          <w:sz w:val="28"/>
        </w:rPr>
        <w:t>1.2 被測核心模組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仿宋"/>
          <w:b w:val="0"/>
          <w:sz w:val="24"/>
        </w:rPr>
        <w:t>模組一 calc_order_amount——依會員等級折扣、滿額立減、優惠券計算購物車結帳之訂單應付金額；模組二 bubble_sort_by_price——將商品依價格升序排序（冒泡排序，含「本趟未交換即提前結束」之最佳化），對應商品排序顯示。</w:t>
      </w:r>
    </w:p>
    <w:p>
      <w:pPr>
        <w:pStyle w:val="Heading1"/>
        <w:spacing w:before="240" w:after="120"/>
      </w:pPr>
      <w:r>
        <w:rPr>
          <w:rFonts w:ascii="Times New Roman" w:hAnsi="Times New Roman" w:eastAsia="標楷體"/>
          <w:b/>
          <w:color w:val="000000"/>
          <w:sz w:val="32"/>
        </w:rPr>
        <w:t>二、模組一：購物車訂單金額計算（calc_order_amount）</w:t>
      </w:r>
    </w:p>
    <w:p>
      <w:pPr>
        <w:pStyle w:val="Heading2"/>
        <w:spacing w:before="240" w:after="120"/>
      </w:pPr>
      <w:r>
        <w:rPr>
          <w:rFonts w:ascii="Times New Roman" w:hAnsi="Times New Roman" w:eastAsia="標楷體"/>
          <w:b/>
          <w:color w:val="000000"/>
          <w:sz w:val="28"/>
        </w:rPr>
        <w:t>2.1 被測原始碼</w:t>
      </w:r>
    </w:p>
    <w:p>
      <w:pPr>
        <w:spacing w:line="240" w:lineRule="auto" w:after="0"/>
        <w:ind w:left="240"/>
      </w:pPr>
      <w:r>
        <w:rPr>
          <w:rFonts w:ascii="Consolas" w:hAnsi="Consolas" w:eastAsia="仿宋"/>
          <w:b w:val="0"/>
          <w:sz w:val="19"/>
        </w:rPr>
        <w:t>def calc_order_amount(items, member_level, coupon=0):</w:t>
      </w:r>
    </w:p>
    <w:p>
      <w:pPr>
        <w:spacing w:line="240" w:lineRule="auto" w:after="0"/>
        <w:ind w:left="240"/>
      </w:pPr>
      <w:r>
        <w:rPr>
          <w:rFonts w:ascii="Consolas" w:hAnsi="Consolas" w:eastAsia="仿宋"/>
          <w:b w:val="0"/>
          <w:sz w:val="19"/>
        </w:rPr>
        <w:t xml:space="preserve">    subtotal = 0                                  # S1</w:t>
      </w:r>
    </w:p>
    <w:p>
      <w:pPr>
        <w:spacing w:line="240" w:lineRule="auto" w:after="0"/>
        <w:ind w:left="240"/>
      </w:pPr>
      <w:r>
        <w:rPr>
          <w:rFonts w:ascii="Consolas" w:hAnsi="Consolas" w:eastAsia="仿宋"/>
          <w:b w:val="0"/>
          <w:sz w:val="19"/>
        </w:rPr>
        <w:t xml:space="preserve">    for price, qty in items:                      # S2  迴圈</w:t>
      </w:r>
    </w:p>
    <w:p>
      <w:pPr>
        <w:spacing w:line="240" w:lineRule="auto" w:after="0"/>
        <w:ind w:left="240"/>
      </w:pPr>
      <w:r>
        <w:rPr>
          <w:rFonts w:ascii="Consolas" w:hAnsi="Consolas" w:eastAsia="仿宋"/>
          <w:b w:val="0"/>
          <w:sz w:val="19"/>
        </w:rPr>
        <w:t xml:space="preserve">        subtotal += price * qty                   # S3</w:t>
      </w:r>
    </w:p>
    <w:p>
      <w:pPr>
        <w:spacing w:line="240" w:lineRule="auto" w:after="0"/>
        <w:ind w:left="240"/>
      </w:pPr>
      <w:r>
        <w:rPr>
          <w:rFonts w:ascii="Consolas" w:hAnsi="Consolas" w:eastAsia="仿宋"/>
          <w:b w:val="0"/>
          <w:sz w:val="19"/>
        </w:rPr>
        <w:t xml:space="preserve">    if member_level == 2:                          # D1</w:t>
      </w:r>
    </w:p>
    <w:p>
      <w:pPr>
        <w:spacing w:line="240" w:lineRule="auto" w:after="0"/>
        <w:ind w:left="240"/>
      </w:pPr>
      <w:r>
        <w:rPr>
          <w:rFonts w:ascii="Consolas" w:hAnsi="Consolas" w:eastAsia="仿宋"/>
          <w:b w:val="0"/>
          <w:sz w:val="19"/>
        </w:rPr>
        <w:t xml:space="preserve">        discount = 0.90                            # S5</w:t>
      </w:r>
    </w:p>
    <w:p>
      <w:pPr>
        <w:spacing w:line="240" w:lineRule="auto" w:after="0"/>
        <w:ind w:left="240"/>
      </w:pPr>
      <w:r>
        <w:rPr>
          <w:rFonts w:ascii="Consolas" w:hAnsi="Consolas" w:eastAsia="仿宋"/>
          <w:b w:val="0"/>
          <w:sz w:val="19"/>
        </w:rPr>
        <w:t xml:space="preserve">    elif member_level == 1:                        # D2</w:t>
      </w:r>
    </w:p>
    <w:p>
      <w:pPr>
        <w:spacing w:line="240" w:lineRule="auto" w:after="0"/>
        <w:ind w:left="240"/>
      </w:pPr>
      <w:r>
        <w:rPr>
          <w:rFonts w:ascii="Consolas" w:hAnsi="Consolas" w:eastAsia="仿宋"/>
          <w:b w:val="0"/>
          <w:sz w:val="19"/>
        </w:rPr>
        <w:t xml:space="preserve">        discount = 0.95                            # S7</w:t>
      </w:r>
    </w:p>
    <w:p>
      <w:pPr>
        <w:spacing w:line="240" w:lineRule="auto" w:after="0"/>
        <w:ind w:left="240"/>
      </w:pPr>
      <w:r>
        <w:rPr>
          <w:rFonts w:ascii="Consolas" w:hAnsi="Consolas" w:eastAsia="仿宋"/>
          <w:b w:val="0"/>
          <w:sz w:val="19"/>
        </w:rPr>
        <w:t xml:space="preserve">    else:</w:t>
      </w:r>
    </w:p>
    <w:p>
      <w:pPr>
        <w:spacing w:line="240" w:lineRule="auto" w:after="0"/>
        <w:ind w:left="240"/>
      </w:pPr>
      <w:r>
        <w:rPr>
          <w:rFonts w:ascii="Consolas" w:hAnsi="Consolas" w:eastAsia="仿宋"/>
          <w:b w:val="0"/>
          <w:sz w:val="19"/>
        </w:rPr>
        <w:t xml:space="preserve">        discount = 1.0                             # S8</w:t>
      </w:r>
    </w:p>
    <w:p>
      <w:pPr>
        <w:spacing w:line="240" w:lineRule="auto" w:after="0"/>
        <w:ind w:left="240"/>
      </w:pPr>
      <w:r>
        <w:rPr>
          <w:rFonts w:ascii="Consolas" w:hAnsi="Consolas" w:eastAsia="仿宋"/>
          <w:b w:val="0"/>
          <w:sz w:val="19"/>
        </w:rPr>
        <w:t xml:space="preserve">    total = subtotal * discount                    # S9</w:t>
      </w:r>
    </w:p>
    <w:p>
      <w:pPr>
        <w:spacing w:line="240" w:lineRule="auto" w:after="0"/>
        <w:ind w:left="240"/>
      </w:pPr>
      <w:r>
        <w:rPr>
          <w:rFonts w:ascii="Consolas" w:hAnsi="Consolas" w:eastAsia="仿宋"/>
          <w:b w:val="0"/>
          <w:sz w:val="19"/>
        </w:rPr>
        <w:t xml:space="preserve">    if member_level &gt;= 1 and subtotal &gt;= 1000:     # D3 (C1 且 C2)</w:t>
      </w:r>
    </w:p>
    <w:p>
      <w:pPr>
        <w:spacing w:line="240" w:lineRule="auto" w:after="0"/>
        <w:ind w:left="240"/>
      </w:pPr>
      <w:r>
        <w:rPr>
          <w:rFonts w:ascii="Consolas" w:hAnsi="Consolas" w:eastAsia="仿宋"/>
          <w:b w:val="0"/>
          <w:sz w:val="19"/>
        </w:rPr>
        <w:t xml:space="preserve">        total -= 100                               # S11</w:t>
      </w:r>
    </w:p>
    <w:p>
      <w:pPr>
        <w:spacing w:line="240" w:lineRule="auto" w:after="0"/>
        <w:ind w:left="240"/>
      </w:pPr>
      <w:r>
        <w:rPr>
          <w:rFonts w:ascii="Consolas" w:hAnsi="Consolas" w:eastAsia="仿宋"/>
          <w:b w:val="0"/>
          <w:sz w:val="19"/>
        </w:rPr>
        <w:t xml:space="preserve">    total -= coupon                                # S12</w:t>
      </w:r>
    </w:p>
    <w:p>
      <w:pPr>
        <w:spacing w:line="240" w:lineRule="auto" w:after="0"/>
        <w:ind w:left="240"/>
      </w:pPr>
      <w:r>
        <w:rPr>
          <w:rFonts w:ascii="Consolas" w:hAnsi="Consolas" w:eastAsia="仿宋"/>
          <w:b w:val="0"/>
          <w:sz w:val="19"/>
        </w:rPr>
        <w:t xml:space="preserve">    if total &lt; 0:                                  # D4</w:t>
      </w:r>
    </w:p>
    <w:p>
      <w:pPr>
        <w:spacing w:line="240" w:lineRule="auto" w:after="0"/>
        <w:ind w:left="240"/>
      </w:pPr>
      <w:r>
        <w:rPr>
          <w:rFonts w:ascii="Consolas" w:hAnsi="Consolas" w:eastAsia="仿宋"/>
          <w:b w:val="0"/>
          <w:sz w:val="19"/>
        </w:rPr>
        <w:t xml:space="preserve">        total = 0                                  # S14</w:t>
      </w:r>
    </w:p>
    <w:p>
      <w:pPr>
        <w:spacing w:line="240" w:lineRule="auto" w:after="0"/>
        <w:ind w:left="240"/>
      </w:pPr>
      <w:r>
        <w:rPr>
          <w:rFonts w:ascii="Consolas" w:hAnsi="Consolas" w:eastAsia="仿宋"/>
          <w:b w:val="0"/>
          <w:sz w:val="19"/>
        </w:rPr>
        <w:t xml:space="preserve">    return round(total, 2)                          # S15</w:t>
      </w:r>
    </w:p>
    <w:p>
      <w:pPr>
        <w:pStyle w:val="Heading2"/>
        <w:spacing w:before="240" w:after="120"/>
      </w:pPr>
      <w:r>
        <w:rPr>
          <w:rFonts w:ascii="Times New Roman" w:hAnsi="Times New Roman" w:eastAsia="標楷體"/>
          <w:b/>
          <w:color w:val="000000"/>
          <w:sz w:val="28"/>
        </w:rPr>
        <w:t>2.2 程式流程圖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760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圖B-1_購物車金額計算流程圖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760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Times New Roman" w:hAnsi="Times New Roman" w:eastAsia="標楷體"/>
          <w:b/>
          <w:sz w:val="21"/>
        </w:rPr>
        <w:t>圖B-1　calc_order_amount 程式流程圖</w:t>
      </w:r>
    </w:p>
    <w:p>
      <w:pPr>
        <w:pStyle w:val="Heading2"/>
        <w:spacing w:before="240" w:after="120"/>
      </w:pPr>
      <w:r>
        <w:rPr>
          <w:rFonts w:ascii="Times New Roman" w:hAnsi="Times New Roman" w:eastAsia="標楷體"/>
          <w:b/>
          <w:color w:val="000000"/>
          <w:sz w:val="28"/>
        </w:rPr>
        <w:t>2.3 控制流程節點與判定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仿宋"/>
          <w:b w:val="0"/>
          <w:sz w:val="24"/>
        </w:rPr>
        <w:t>本模組共有 4 個判定節點：D1（member_level == 2，是否 VIP，折扣 0.90）、D2（member_level == 1，是否一般會員，折扣 0.95）、D3（member_level≥1 且 subtotal≥1000，複合條件，C1＝會員、C2＝滿千，成立則立減 100）、D4（total &lt; 0，金額是否為負而需歸零）。其中 D3 為複合條件判定，包含兩個原子條件 C1、C2，故另作條件覆蓋設計。</w:t>
      </w:r>
    </w:p>
    <w:p>
      <w:pPr>
        <w:pStyle w:val="Heading2"/>
        <w:spacing w:before="240" w:after="120"/>
      </w:pPr>
      <w:r>
        <w:rPr>
          <w:rFonts w:ascii="Times New Roman" w:hAnsi="Times New Roman" w:eastAsia="標楷體"/>
          <w:b/>
          <w:color w:val="000000"/>
          <w:sz w:val="28"/>
        </w:rPr>
        <w:t>2.4 語句覆蓋測試用例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仿宋"/>
          <w:b w:val="0"/>
          <w:sz w:val="24"/>
        </w:rPr>
        <w:t>下列 4 條用例使 S1～S15 之每一條可執行語句皆至少執行一次，語句覆蓋率達 100%。</w:t>
      </w:r>
    </w:p>
    <w:p>
      <w:pPr>
        <w:spacing w:before="120" w:after="40"/>
        <w:jc w:val="center"/>
      </w:pPr>
      <w:r>
        <w:rPr>
          <w:rFonts w:ascii="Times New Roman" w:hAnsi="Times New Roman" w:eastAsia="標楷體"/>
          <w:b/>
          <w:sz w:val="21"/>
        </w:rPr>
        <w:t>表B-1　語句覆蓋測試用例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標楷體"/>
                <w:b/>
                <w:sz w:val="19"/>
              </w:rPr>
              <w:t>用例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標楷體"/>
                <w:b/>
                <w:sz w:val="19"/>
              </w:rPr>
              <w:t>items（單價,數量）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Times New Roman" w:hAnsi="Times New Roman" w:eastAsia="標楷體"/>
                <w:b/>
                <w:sz w:val="19"/>
              </w:rPr>
              <w:t>member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 w:eastAsia="標楷體"/>
                <w:b/>
                <w:sz w:val="19"/>
              </w:rPr>
              <w:t>coupon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標楷體"/>
                <w:b/>
                <w:sz w:val="19"/>
              </w:rPr>
              <w:t>涵蓋語句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標楷體"/>
                <w:b/>
                <w:sz w:val="19"/>
              </w:rPr>
              <w:t>預期回傳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TC-W01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[(600,2)]→1200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S1-S3,S5,S9,S11,S15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980.0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TC-W02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[(300,1)]→300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S7,S9,S12,S15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285.0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TC-W03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[(100,1)]→100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S8,S9,S15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100.0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TC-W04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[(50,1)]→50</w:t>
            </w:r>
          </w:p>
        </w:tc>
        <w:tc>
          <w:tcPr>
            <w:tcW w:type="dxa" w:w="794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S7,S12,S14,S15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0</w:t>
            </w:r>
          </w:p>
        </w:tc>
      </w:tr>
    </w:tbl>
    <w:p>
      <w:pPr>
        <w:pStyle w:val="Heading2"/>
        <w:spacing w:before="240" w:after="120"/>
      </w:pPr>
      <w:r>
        <w:rPr>
          <w:rFonts w:ascii="Times New Roman" w:hAnsi="Times New Roman" w:eastAsia="標楷體"/>
          <w:b/>
          <w:color w:val="000000"/>
          <w:sz w:val="28"/>
        </w:rPr>
        <w:t>2.5 判定覆蓋測試用例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仿宋"/>
          <w:b w:val="0"/>
          <w:sz w:val="24"/>
        </w:rPr>
        <w:t>下列用例使 D1～D4 每個判定的「真」「假」分支各至少執行一次，判定覆蓋率達 100%。</w:t>
      </w:r>
    </w:p>
    <w:p>
      <w:pPr>
        <w:spacing w:before="120" w:after="40"/>
        <w:jc w:val="center"/>
      </w:pPr>
      <w:r>
        <w:rPr>
          <w:rFonts w:ascii="Times New Roman" w:hAnsi="Times New Roman" w:eastAsia="標楷體"/>
          <w:b/>
          <w:sz w:val="21"/>
        </w:rPr>
        <w:t>表B-2　判定覆蓋測試用例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 w:eastAsia="標楷體"/>
                <w:b/>
                <w:sz w:val="20"/>
              </w:rPr>
              <w:t>判定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eastAsia="標楷體"/>
                <w:b/>
                <w:sz w:val="20"/>
              </w:rPr>
              <w:t>取真（T）用例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標楷體"/>
                <w:b/>
                <w:sz w:val="20"/>
              </w:rPr>
              <w:t>取假（F）用例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仿宋"/>
                <w:b w:val="0"/>
                <w:sz w:val="19"/>
              </w:rPr>
              <w:t>D1 member==2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仿宋"/>
                <w:b w:val="0"/>
                <w:sz w:val="19"/>
              </w:rPr>
              <w:t>TC-W01（member=2）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仿宋"/>
                <w:b w:val="0"/>
                <w:sz w:val="19"/>
              </w:rPr>
              <w:t>TC-W02/03/04（member≠2）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仿宋"/>
                <w:b w:val="0"/>
                <w:sz w:val="19"/>
              </w:rPr>
              <w:t>D2 member==1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仿宋"/>
                <w:b w:val="0"/>
                <w:sz w:val="19"/>
              </w:rPr>
              <w:t>TC-W02（member=1）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仿宋"/>
                <w:b w:val="0"/>
                <w:sz w:val="19"/>
              </w:rPr>
              <w:t>TC-W03（member=0）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仿宋"/>
                <w:b w:val="0"/>
                <w:sz w:val="19"/>
              </w:rPr>
              <w:t>D3 會員且滿千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仿宋"/>
                <w:b w:val="0"/>
                <w:sz w:val="19"/>
              </w:rPr>
              <w:t>TC-W01（會員且1200）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仿宋"/>
                <w:b w:val="0"/>
                <w:sz w:val="19"/>
              </w:rPr>
              <w:t>TC-W02/03/04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Times New Roman" w:hAnsi="Times New Roman" w:eastAsia="仿宋"/>
                <w:b w:val="0"/>
                <w:sz w:val="19"/>
              </w:rPr>
              <w:t>D4 total&lt;0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eastAsia="仿宋"/>
                <w:b w:val="0"/>
                <w:sz w:val="19"/>
              </w:rPr>
              <w:t>TC-W04（-32.5→0）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仿宋"/>
                <w:b w:val="0"/>
                <w:sz w:val="19"/>
              </w:rPr>
              <w:t>TC-W01/02/03</w:t>
            </w:r>
          </w:p>
        </w:tc>
      </w:tr>
    </w:tbl>
    <w:p>
      <w:pPr>
        <w:pStyle w:val="Heading2"/>
        <w:spacing w:before="240" w:after="120"/>
      </w:pPr>
      <w:r>
        <w:rPr>
          <w:rFonts w:ascii="Times New Roman" w:hAnsi="Times New Roman" w:eastAsia="標楷體"/>
          <w:b/>
          <w:color w:val="000000"/>
          <w:sz w:val="28"/>
        </w:rPr>
        <w:t>2.6 條件覆蓋測試用例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仿宋"/>
          <w:b w:val="0"/>
          <w:sz w:val="24"/>
        </w:rPr>
        <w:t>針對複合判定 D3＝(C1：member_level≥1) 且 (C2：subtotal≥1000)，設計用例使每個原子條件的真、假各出現一次，條件覆蓋率達 100%（並同時滿足判定-條件組合覆蓋）。</w:t>
      </w:r>
    </w:p>
    <w:p>
      <w:pPr>
        <w:spacing w:before="120" w:after="40"/>
        <w:jc w:val="center"/>
      </w:pPr>
      <w:r>
        <w:rPr>
          <w:rFonts w:ascii="Times New Roman" w:hAnsi="Times New Roman" w:eastAsia="標楷體"/>
          <w:b/>
          <w:sz w:val="21"/>
        </w:rPr>
        <w:t>表B-3　D3 條件覆蓋測試用例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964"/>
          </w:tcPr>
          <w:p>
            <w:pPr>
              <w:jc w:val="center"/>
            </w:pPr>
            <w:r/>
            <w:r>
              <w:rPr>
                <w:rFonts w:ascii="Times New Roman" w:hAnsi="Times New Roman" w:eastAsia="標楷體"/>
                <w:b/>
                <w:sz w:val="18"/>
              </w:rPr>
              <w:t>用例</w:t>
            </w:r>
          </w:p>
        </w:tc>
        <w:tc>
          <w:tcPr>
            <w:tcW w:type="dxa" w:w="1871"/>
          </w:tcPr>
          <w:p>
            <w:pPr>
              <w:jc w:val="center"/>
            </w:pPr>
            <w:r/>
            <w:r>
              <w:rPr>
                <w:rFonts w:ascii="Times New Roman" w:hAnsi="Times New Roman" w:eastAsia="標楷體"/>
                <w:b/>
                <w:sz w:val="18"/>
              </w:rPr>
              <w:t>items→subtotal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Times New Roman" w:hAnsi="Times New Roman" w:eastAsia="標楷體"/>
                <w:b/>
                <w:sz w:val="18"/>
              </w:rPr>
              <w:t>member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標楷體"/>
                <w:b/>
                <w:sz w:val="18"/>
              </w:rPr>
              <w:t>C1:≥1會員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標楷體"/>
                <w:b/>
                <w:sz w:val="18"/>
              </w:rPr>
              <w:t>C2:≥1000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標楷體"/>
                <w:b/>
                <w:sz w:val="18"/>
              </w:rPr>
              <w:t>D3 結果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Times New Roman" w:hAnsi="Times New Roman" w:eastAsia="標楷體"/>
                <w:b/>
                <w:sz w:val="18"/>
              </w:rPr>
              <w:t>預期回傳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TC-W01</w:t>
            </w:r>
          </w:p>
        </w:tc>
        <w:tc>
          <w:tcPr>
            <w:tcW w:type="dxa" w:w="1871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[(600,2)]→1200</w:t>
            </w:r>
          </w:p>
        </w:tc>
        <w:tc>
          <w:tcPr>
            <w:tcW w:type="dxa" w:w="737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T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T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T（立減）</w:t>
            </w:r>
          </w:p>
        </w:tc>
        <w:tc>
          <w:tcPr>
            <w:tcW w:type="dxa" w:w="1191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980.0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TC-W02</w:t>
            </w:r>
          </w:p>
        </w:tc>
        <w:tc>
          <w:tcPr>
            <w:tcW w:type="dxa" w:w="1871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[(300,1)]→300</w:t>
            </w:r>
          </w:p>
        </w:tc>
        <w:tc>
          <w:tcPr>
            <w:tcW w:type="dxa" w:w="737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1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T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F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F</w:t>
            </w:r>
          </w:p>
        </w:tc>
        <w:tc>
          <w:tcPr>
            <w:tcW w:type="dxa" w:w="1191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285.0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TC-W05</w:t>
            </w:r>
          </w:p>
        </w:tc>
        <w:tc>
          <w:tcPr>
            <w:tcW w:type="dxa" w:w="1871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[(800,2)]→1600</w:t>
            </w:r>
          </w:p>
        </w:tc>
        <w:tc>
          <w:tcPr>
            <w:tcW w:type="dxa" w:w="737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F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T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F</w:t>
            </w:r>
          </w:p>
        </w:tc>
        <w:tc>
          <w:tcPr>
            <w:tcW w:type="dxa" w:w="1191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1600.0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TC-W03</w:t>
            </w:r>
          </w:p>
        </w:tc>
        <w:tc>
          <w:tcPr>
            <w:tcW w:type="dxa" w:w="1871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[(100,1)]→100</w:t>
            </w:r>
          </w:p>
        </w:tc>
        <w:tc>
          <w:tcPr>
            <w:tcW w:type="dxa" w:w="737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F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F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F</w:t>
            </w:r>
          </w:p>
        </w:tc>
        <w:tc>
          <w:tcPr>
            <w:tcW w:type="dxa" w:w="1191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100.0</w:t>
            </w:r>
          </w:p>
        </w:tc>
      </w:tr>
    </w:tbl>
    <w:p>
      <w:pPr>
        <w:pStyle w:val="Heading1"/>
        <w:spacing w:before="240" w:after="120"/>
      </w:pPr>
      <w:r>
        <w:rPr>
          <w:rFonts w:ascii="Times New Roman" w:hAnsi="Times New Roman" w:eastAsia="標楷體"/>
          <w:b/>
          <w:color w:val="000000"/>
          <w:sz w:val="32"/>
        </w:rPr>
        <w:t>三、模組二：商品價格冒泡排序（bubble_sort_by_price）</w:t>
      </w:r>
    </w:p>
    <w:p>
      <w:pPr>
        <w:pStyle w:val="Heading2"/>
        <w:spacing w:before="240" w:after="120"/>
      </w:pPr>
      <w:r>
        <w:rPr>
          <w:rFonts w:ascii="Times New Roman" w:hAnsi="Times New Roman" w:eastAsia="標楷體"/>
          <w:b/>
          <w:color w:val="000000"/>
          <w:sz w:val="28"/>
        </w:rPr>
        <w:t>3.1 被測原始碼</w:t>
      </w:r>
    </w:p>
    <w:p>
      <w:pPr>
        <w:spacing w:line="240" w:lineRule="auto" w:after="0"/>
        <w:ind w:left="240"/>
      </w:pPr>
      <w:r>
        <w:rPr>
          <w:rFonts w:ascii="Consolas" w:hAnsi="Consolas" w:eastAsia="仿宋"/>
          <w:b w:val="0"/>
          <w:sz w:val="19"/>
        </w:rPr>
        <w:t>def bubble_sort_by_price(products):</w:t>
      </w:r>
    </w:p>
    <w:p>
      <w:pPr>
        <w:spacing w:line="240" w:lineRule="auto" w:after="0"/>
        <w:ind w:left="240"/>
      </w:pPr>
      <w:r>
        <w:rPr>
          <w:rFonts w:ascii="Consolas" w:hAnsi="Consolas" w:eastAsia="仿宋"/>
          <w:b w:val="0"/>
          <w:sz w:val="19"/>
        </w:rPr>
        <w:t xml:space="preserve">    arr = list(products)                # B1</w:t>
      </w:r>
    </w:p>
    <w:p>
      <w:pPr>
        <w:spacing w:line="240" w:lineRule="auto" w:after="0"/>
        <w:ind w:left="240"/>
      </w:pPr>
      <w:r>
        <w:rPr>
          <w:rFonts w:ascii="Consolas" w:hAnsi="Consolas" w:eastAsia="仿宋"/>
          <w:b w:val="0"/>
          <w:sz w:val="19"/>
        </w:rPr>
        <w:t xml:space="preserve">    n = len(arr)                        # B1</w:t>
      </w:r>
    </w:p>
    <w:p>
      <w:pPr>
        <w:spacing w:line="240" w:lineRule="auto" w:after="0"/>
        <w:ind w:left="240"/>
      </w:pPr>
      <w:r>
        <w:rPr>
          <w:rFonts w:ascii="Consolas" w:hAnsi="Consolas" w:eastAsia="仿宋"/>
          <w:b w:val="0"/>
          <w:sz w:val="19"/>
        </w:rPr>
        <w:t xml:space="preserve">    for i in range(n - 1):              # B2 外層迴圈  DB1: i &lt; n-1</w:t>
      </w:r>
    </w:p>
    <w:p>
      <w:pPr>
        <w:spacing w:line="240" w:lineRule="auto" w:after="0"/>
        <w:ind w:left="240"/>
      </w:pPr>
      <w:r>
        <w:rPr>
          <w:rFonts w:ascii="Consolas" w:hAnsi="Consolas" w:eastAsia="仿宋"/>
          <w:b w:val="0"/>
          <w:sz w:val="19"/>
        </w:rPr>
        <w:t xml:space="preserve">        swapped = False                 # B3</w:t>
      </w:r>
    </w:p>
    <w:p>
      <w:pPr>
        <w:spacing w:line="240" w:lineRule="auto" w:after="0"/>
        <w:ind w:left="240"/>
      </w:pPr>
      <w:r>
        <w:rPr>
          <w:rFonts w:ascii="Consolas" w:hAnsi="Consolas" w:eastAsia="仿宋"/>
          <w:b w:val="0"/>
          <w:sz w:val="19"/>
        </w:rPr>
        <w:t xml:space="preserve">        for j in range(n - 1 - i):      # B4 內層迴圈  DB2: j &lt; n-1-i</w:t>
      </w:r>
    </w:p>
    <w:p>
      <w:pPr>
        <w:spacing w:line="240" w:lineRule="auto" w:after="0"/>
        <w:ind w:left="240"/>
      </w:pPr>
      <w:r>
        <w:rPr>
          <w:rFonts w:ascii="Consolas" w:hAnsi="Consolas" w:eastAsia="仿宋"/>
          <w:b w:val="0"/>
          <w:sz w:val="19"/>
        </w:rPr>
        <w:t xml:space="preserve">            if arr[j][1] &gt; arr[j+1][1]: # B5  DB3: 相鄰價格比較</w:t>
      </w:r>
    </w:p>
    <w:p>
      <w:pPr>
        <w:spacing w:line="240" w:lineRule="auto" w:after="0"/>
        <w:ind w:left="240"/>
      </w:pPr>
      <w:r>
        <w:rPr>
          <w:rFonts w:ascii="Consolas" w:hAnsi="Consolas" w:eastAsia="仿宋"/>
          <w:b w:val="0"/>
          <w:sz w:val="19"/>
        </w:rPr>
        <w:t xml:space="preserve">                arr[j], arr[j+1] = arr[j+1], arr[j]   # B6</w:t>
      </w:r>
    </w:p>
    <w:p>
      <w:pPr>
        <w:spacing w:line="240" w:lineRule="auto" w:after="0"/>
        <w:ind w:left="240"/>
      </w:pPr>
      <w:r>
        <w:rPr>
          <w:rFonts w:ascii="Consolas" w:hAnsi="Consolas" w:eastAsia="仿宋"/>
          <w:b w:val="0"/>
          <w:sz w:val="19"/>
        </w:rPr>
        <w:t xml:space="preserve">                swapped = True          # B6</w:t>
      </w:r>
    </w:p>
    <w:p>
      <w:pPr>
        <w:spacing w:line="240" w:lineRule="auto" w:after="0"/>
        <w:ind w:left="240"/>
      </w:pPr>
      <w:r>
        <w:rPr>
          <w:rFonts w:ascii="Consolas" w:hAnsi="Consolas" w:eastAsia="仿宋"/>
          <w:b w:val="0"/>
          <w:sz w:val="19"/>
        </w:rPr>
        <w:t xml:space="preserve">        if not swapped:                 # B7  DB4: 本趟未交換</w:t>
      </w:r>
    </w:p>
    <w:p>
      <w:pPr>
        <w:spacing w:line="240" w:lineRule="auto" w:after="0"/>
        <w:ind w:left="240"/>
      </w:pPr>
      <w:r>
        <w:rPr>
          <w:rFonts w:ascii="Consolas" w:hAnsi="Consolas" w:eastAsia="仿宋"/>
          <w:b w:val="0"/>
          <w:sz w:val="19"/>
        </w:rPr>
        <w:t xml:space="preserve">            break                       # B7  提前結束</w:t>
      </w:r>
    </w:p>
    <w:p>
      <w:pPr>
        <w:spacing w:line="240" w:lineRule="auto" w:after="0"/>
        <w:ind w:left="240"/>
      </w:pPr>
      <w:r>
        <w:rPr>
          <w:rFonts w:ascii="Consolas" w:hAnsi="Consolas" w:eastAsia="仿宋"/>
          <w:b w:val="0"/>
          <w:sz w:val="19"/>
        </w:rPr>
        <w:t xml:space="preserve">    return arr                          # B8</w:t>
      </w:r>
    </w:p>
    <w:p>
      <w:pPr>
        <w:pStyle w:val="Heading2"/>
        <w:spacing w:before="240" w:after="120"/>
      </w:pPr>
      <w:r>
        <w:rPr>
          <w:rFonts w:ascii="Times New Roman" w:hAnsi="Times New Roman" w:eastAsia="標楷體"/>
          <w:b/>
          <w:color w:val="000000"/>
          <w:sz w:val="28"/>
        </w:rPr>
        <w:t>3.2 程式流程圖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63105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圖B-2_商品排序冒泡流程圖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310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Times New Roman" w:hAnsi="Times New Roman" w:eastAsia="標楷體"/>
          <w:b/>
          <w:sz w:val="21"/>
        </w:rPr>
        <w:t>圖B-2　bubble_sort_by_price 程式流程圖</w:t>
      </w:r>
    </w:p>
    <w:p>
      <w:pPr>
        <w:pStyle w:val="Heading2"/>
        <w:spacing w:before="240" w:after="120"/>
      </w:pPr>
      <w:r>
        <w:rPr>
          <w:rFonts w:ascii="Times New Roman" w:hAnsi="Times New Roman" w:eastAsia="標楷體"/>
          <w:b/>
          <w:color w:val="000000"/>
          <w:sz w:val="28"/>
        </w:rPr>
        <w:t>3.3 語句、判定與邊界覆蓋測試用例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仿宋"/>
          <w:b w:val="0"/>
          <w:sz w:val="24"/>
        </w:rPr>
        <w:t>本模組含 4 個判定：DB1（外層 i&lt;n-1）、DB2（內層 j&lt;n-1-i）、DB3（相鄰價格比較）、DB4（本趟未交換則 break）。下表用例使全部語句執行一次、各判定真假分支皆覆蓋，並涵蓋零次、一次、相等元素等邊界與迴圈情形。</w:t>
      </w:r>
    </w:p>
    <w:p>
      <w:pPr>
        <w:spacing w:before="120" w:after="40"/>
        <w:jc w:val="center"/>
      </w:pPr>
      <w:r>
        <w:rPr>
          <w:rFonts w:ascii="Times New Roman" w:hAnsi="Times New Roman" w:eastAsia="標楷體"/>
          <w:b/>
          <w:sz w:val="21"/>
        </w:rPr>
        <w:t>表B-4　語句／判定／邊界覆蓋測試用例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964"/>
          </w:tcPr>
          <w:p>
            <w:pPr>
              <w:jc w:val="center"/>
            </w:pPr>
            <w:r/>
            <w:r>
              <w:rPr>
                <w:rFonts w:ascii="Times New Roman" w:hAnsi="Times New Roman" w:eastAsia="標楷體"/>
                <w:b/>
                <w:sz w:val="19"/>
              </w:rPr>
              <w:t>用例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標楷體"/>
                <w:b/>
                <w:sz w:val="19"/>
              </w:rPr>
              <w:t>輸入（名稱,價格）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標楷體"/>
                <w:b/>
                <w:sz w:val="19"/>
              </w:rPr>
              <w:t>涵蓋重點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標楷體"/>
                <w:b/>
                <w:sz w:val="19"/>
              </w:rPr>
              <w:t>預期輸出（價格序）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TC-S01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[(A,30),(B,20),(C,10)]（完全反序）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多次交換，DB1-DB4 真假皆覆蓋（DB4=F）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10,20,30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TC-S02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[(A,10),(B,20),(C,30)]（已序）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首趟無交換→break 提前結束（DB4=T）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10,20,30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TC-S03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[(A,5)]（單一元素）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外層迴圈零次，直接 return（DB1=F）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5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TC-S04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[]（空串列，n=0）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邊界：迴圈執行 0 次，不崩潰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[]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TC-S05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[(A,10),(B,10),(C,5)]（含相等）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DB3 取「等於」邊界（&gt;為假，不交換）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仿宋"/>
                <w:b w:val="0"/>
                <w:sz w:val="18"/>
              </w:rPr>
              <w:t>5,10,10（穩定）</w:t>
            </w:r>
          </w:p>
        </w:tc>
      </w:tr>
    </w:tbl>
    <w:p>
      <w:pPr>
        <w:spacing w:line="360" w:lineRule="auto" w:after="80"/>
        <w:ind w:firstLine="440"/>
      </w:pPr>
      <w:r>
        <w:rPr>
          <w:rFonts w:ascii="Times New Roman" w:hAnsi="Times New Roman" w:eastAsia="仿宋"/>
          <w:b w:val="0"/>
          <w:sz w:val="22"/>
        </w:rPr>
        <w:t>綜合上述用例：語句 B1～B8 全部覆蓋（B6 交換由 S01、B7 break 由 S02），DB1～DB4 之真假分支皆覆蓋，語句與判定覆蓋率均達 100%。</w:t>
      </w:r>
    </w:p>
    <w:p>
      <w:pPr>
        <w:pStyle w:val="Heading1"/>
        <w:spacing w:before="240" w:after="120"/>
      </w:pPr>
      <w:r>
        <w:rPr>
          <w:rFonts w:ascii="Times New Roman" w:hAnsi="Times New Roman" w:eastAsia="標楷體"/>
          <w:b/>
          <w:color w:val="000000"/>
          <w:sz w:val="32"/>
        </w:rPr>
        <w:t>四、覆蓋率匯總與結論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仿宋"/>
          <w:b w:val="0"/>
          <w:sz w:val="24"/>
        </w:rPr>
        <w:t>覆蓋率匯總：calc_order_amount（4 個判定，5 條用例 W01-W05）之語句覆蓋、判定覆蓋、條件覆蓋率均達 100%；bubble_sort_by_price（4 個判定，5 條用例 S01-S05，無複合條件）之語句覆蓋與判定覆蓋率均達 100%。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仿宋"/>
          <w:b w:val="0"/>
          <w:sz w:val="24"/>
        </w:rPr>
        <w:t>（1）透過繪製程式流程圖釐清兩個核心模組的控制流程後，依語句、判定、條件三種覆蓋準則設計測試用例，兩模組之語句覆蓋與判定覆蓋率均達 100%；對含複合條件的判定 D3 另以條件覆蓋驗證，亦達 100%。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仿宋"/>
          <w:b w:val="0"/>
          <w:sz w:val="24"/>
        </w:rPr>
        <w:t>（2）白盒測試補足了黑盒測試難以觸及的內部分支：例如 calc_order_amount 中「會員且滿千」之複合條件、防負歸零分支，以及冒泡排序「本趟未交換即提前結束」之最佳化分支，均經由結構分析設計出對應用例予以覆蓋。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仿宋"/>
          <w:b w:val="0"/>
          <w:sz w:val="24"/>
        </w:rPr>
        <w:t>（3）建議：可進一步引入路徑覆蓋與條件組合覆蓋以提高強度，並以 coverage.py 等工具於 CI 流程中自動量測實際覆蓋率，使結構測試結果可持續追蹤。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仿宋"/>
          <w:b w:val="0"/>
          <w:sz w:val="24"/>
        </w:rPr>
        <w:t>本白盒測試與功能（黑盒）、API、效能測試相互補充，共同構成本次《軟體測試》大作業之完整測試體系。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