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120"/>
      </w:pPr>
      <w:r>
        <w:rPr>
          <w:rFonts w:ascii="Times New Roman" w:hAnsi="Times New Roman" w:eastAsia="SimHei"/>
          <w:b/>
          <w:sz w:val="48"/>
        </w:rPr>
        <w:t>Step120物流知识能力诊断与优化实验</w:t>
      </w:r>
    </w:p>
    <w:p>
      <w:pPr>
        <w:pStyle w:val="Subtitle"/>
        <w:widowControl/>
        <w:spacing w:line="360" w:lineRule="auto" w:before="0" w:after="120"/>
      </w:pPr>
      <w:r>
        <w:rPr>
          <w:rFonts w:ascii="Times New Roman" w:hAnsi="Times New Roman" w:eastAsia="SimSun"/>
          <w:b w:val="0"/>
          <w:sz w:val="30"/>
        </w:rPr>
        <w:t>阶段报告  2026年9月7日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本阶段围绕物流知识问答增益有限的问题，依次开展 CPT 尝试与无训练根因诊断。结果显示，文本学习尚未充分转化为问答收益，知识边界、概念辨析和情景应用仍不稳定。下一阶段将从书籍 CPT 最佳候选出发开展书籍问答 SFT，并与原始 Step120 和该 CPT 候选比较，验证问答监督的增量效果。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一 背景与问题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本报告的 Step120 指 2026年8月25日开源数据续训后的模型，实验标识为 llin-step120-opensource-20260825-02。按训练记录，该模型先接受100步垂域轨迹 GRPO，再完成20步开源数据更新；此前训练未专门引入本轮物流书籍知识。[1]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为检查垂域 Agent 训练是否同时带来物流知识收益，我们比较同机、同推理栈的原生 Qwen3.6-27B 与 Step120。结果均在80多分，差距不到半个百分点。[2]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+0.36点</w:t>
            </w:r>
          </w:p>
        </w:tc>
      </w:tr>
    </w:tbl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color w:val="595959"/>
          <w:sz w:val="30"/>
        </w:rPr>
        <w:t>注：变化按未四舍五入的原始分数计算，单位为百分点。SC-bench 的100道工具题不在本表内。主比较采用相同 BF16 精度、温度0、关闭 thinking 和严格答案集合评分。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问题判断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这一结果说明，既有训练尚未形成明显的物流知识问答增益，垂域 Agent 优化没有自动转化为同等幅度的知识问答优势。Step120 共答对1369题，仍有303题答错；但仅凭总分不能判断这些错误究竟来自知识缺口、概念调用、情景应用，还是输入与评分问题。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本轮主比较净增6题，低于项目此前设定的物流知识提升3个百分点的实用门槛。以下实验用于拆解差距，不把“80多分”直接等同于“缺知识”。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二 探测方法与优化思路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探测的目标是区分知识储备、知识调用与情景应用问题。整体逻辑是：发现问答增益不足，先尝试知识文本训练；当 CPT 收益有限时，再通过同一模型的无训练对照定位问题，最后据此设计书籍问答 SFT。本节说明判断方法，第四部分呈现诊断结果，第五部分明确训练路线与比较对象。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1 在同一模型上改变作答条件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以原始 Step120 的历史错题为主要样本，并匹配少量原答对题作对照。设置原题闭卷、原题加独立教材、相关基础知识题闭卷、基础知识题加教材四个条件，每个条件重复3轮。检索不接收金答案，基础题与资料充分性分别审核；未通过的样本不强行归因。[3]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2 用补证与开放问答核查知识边界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对有代表性的疑难案例核查资料是否真正足够、输入是否缺图或存在选项歧义。再对同一知识点设计定义、辨析、应用问答，检查模型能否在不提供资料和选项时主动表达并使用知识。定向补证与闭卷探针用于定位原因，不改写原正式成绩。[4][5]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3 根据证据选择优化方向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闭卷答错、加资料答对，提示知识补充或调用改善可能有效，但不能证明参数中完全没有知识；定义可答而应用不稳，应重点检查概念辨析、条件理解与情景映射；输入或标签有问题，应先核对评测依据。训练侧再用 CPT 与答案监督检查文本学习是否转化为问答表现，避免仅凭总分或训练 loss 判定根因。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三 方案一 评测基准转语料开展CPT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目的与设计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为检验“把所需知识显式加入训练，是否就能提高得分”，我们将1672道评测题转成普通因果语言建模语料，并设置直接题面与改写题面两组。两组均从同一 Step120 权重独立初始化新优化器，各训练4遍、64步，再用冻结原题做三轮多数票评测。[6]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直接组保留题干和正确答案正文，去除选项字母、索引及干扰项；改写组改写题干、保留正确答案。1625题通过自动改写门禁，47题回退到原题。历史判断题保留原命题并追加真假结论，并未全部转成纠正后的正向知识陈述，这是该次制数的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+0.2392点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直接组21题改对、9题改错，净增12题；改写组10题改对、6题改错，净增4题。直接组的未校正配对检验 p=0.0428，改写组 p=0.4545。准确表述是“有小幅提升，但实用增益有限”，不能笼统写成两组均统计不显著。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训练发生了 为什么得分变化仍小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直接组第1至第4遍平均 loss 从3.8054降至2.1378，改写组从3.4648降至2.1423；训练和权重导出均通过校验。进一步只测答案位置，直接 CPT 在原训练块中的答案 NLL 从4.7873降到2.4873，但独立题面仅从2.8990降到2.6632，改善明显依赖上下文。[7]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书籍原文 CPT 的独立对照也呈现类似现象：增加至4遍后，书内 NLL 相对改善4.126%，但200道书内改写知识题仍为189/200；公开题三轮多数票仅从1369增至1371，提升0.1196个百分点。[8]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阶段结论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文本预测能力的改善没有充分转化为问答得分，支持进一步检查知识吸收方式、答案监督位置和实际调用过程。不过，小幅增益既可能包含写入不足，也可能包含利用不足；结合闭卷探针，不宜下“知识无缺失”的确定结论。更准确的表述是：模型已有较多领域知识，但知识边界与应用仍不稳定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本方案训练接触了评测题及答案，结果仅用于受控同题诊断，不能作为独立泛化成绩或交付能力证明。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补充诊断 同题答案SFT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另一组已完成实验使用全部1672道原题、完整选项及正确答案 JSON，仅监督答案与结束标记。训练1遍和2遍后，总体同题成绩分别为93.18%和94.44%，对照原始 Step120 的81.88%，说明直接匹配作答目标的监督可以显著提高同题拟合。[9]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这组实验属于“评测题答案 SFT”，与后续独立书籍问答 SFT 的数据来源不同。它说明同题答案可以被拟合，但不能证明未见问题上的能力提升，也不能单独证明模型原先已拥有全部知识。其作用是提供监督目标方面的线索，不作为后续三模型比较的候选。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四 无训练诊断 定位知识与应用问题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实验目的与模型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本实验回答“Step120 为什么答错”，不重复背景中的原生模型与 Step120 总分比较。固定未接受本轮评测题 CPT 或 SFT 的原始 Step120，仅改变题目呈现和参考资料，不更新参数。比较对象是同一模型在不同条件下的表现；此前接受评测题训练的候选不参与本轮诊断。[3]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1 四条件诊断结果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冻结303道历史错题，其中 LogistikaBench 266题、SC-bench知识题37题；另匹配60道原答对题，共363题。按第二部分的四条件协议分别运行3轮，以严格多数票计分。下表列出原题结果及历史错题中65道有效基础题的结果，分母分别保留。[3][4]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64/65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诊断提示与历史正式评测不同，因此303道历史错题本轮闭卷答对6题并不矛盾。资料能帮助部分题目，也可能干扰原答对题；基础题的分母和难度均不同，不能直接与303题正确率相减。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2 八题复核与四题补证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363题中259题自动审核缺失或无效，不能据此判为教材不覆盖。后续复核8题，发现探针过浅、资料不充分、缺图、重复选项等问题。在获得定向补证的同4题上，闭卷及原教材均为0/4，补充已核对资料后为4/4，三轮一致；单加题型提示在8题上仍为0/8。[4]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补证比较仅限同4题，并非全量错题或盲检索结果。补充资料是在看过金标签后按缺失概念定向核查的独立来源，不能据4/4外推到303题。该结果说明这4题的错误可由明确资料辅助纠正，不能单独区分原先缺知识还是调用困难。[4]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3 四个知识点的闭卷诊断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  <w:spacing w:val="-3"/>
        </w:rPr>
        <w:t>对上述4个知识点再做定义、辨析、应用各1问，共12问、每问3轮。预先冻结的核心标准通过6/12，其中定义2/4、辨析3/4、应用1/4。这表明部分知识可以调用，但概念范围、术语对应和情景应用并不稳定。[5]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每个知识点包含定义、辨析、应用各1问；12问仅涉及4个相关知识点，不是12个独立知识领域。每问至少2/3轮达到预先冻结的核心要点才记通过。主评分6/12不等于整段回答事实完全可靠；若同时否决已发现的附加事实错误，事后敏感性结果为5/12。[5]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实验结论与后续方向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无训练对照支持“部分知识可调用，但知识边界、术语对应与情景应用不稳定”的混合解释。它把优化重点进一步落到知识校准、概念辨析和情景问答监督，因此提出下一阶段书籍 SFT。该方向有诊断依据，但是否有效仍需训练后比较，不能概括为“知识全部具备，只缺推理”。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五 书籍问答SFT方案与验证计划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训练路线与起点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训练路线确定为：原始 Step120 → 书籍原文 CPT → 书籍问答 SFT。SFT 从当前已测书籍 CPT 候选中公开题总答对数最高的4遍模型开始，标识为 qwen3.6-27b-step120-handbook8e-cpt-4x，对应本轮书籍 CPT 第116步。它不是评测题直接 CPT 或改写 CPT 模型。[8]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在统一三轮多数票口径下，书籍1遍、2遍、4遍候选分别答对1370、1366、1371题；4遍为1371/1672（81.998%），原始 Step120 为1369/1672（81.878%）。4遍的净增只有2题，尚未通过此前的实用提升门槛；选择它作为后续训练起点，不等于认定其知识问答能力已有可靠提升。[8][10]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SFT 从该模型权重初始化新的优化器与训练日程，不恢复书籍 CPT 的优化器状态。书籍 CPT 参数已经改变，但原有 Agent 和通用能力回归尚未完成，应在后续验证中补齐。[8]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训练数据与针对性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从独立于评测题的书籍内容构造有出处、经复核的问答对，覆盖定义与事实校准、相近概念辨析、条件判断和情景应用。训练目标是把书籍知识转化为稳定回答；不使用公开评测题答案、错题派生探针或定向补证资料包生成训练样本。书籍 QA 数据准备与模型 SFT 训练分开记录，当前不填报训练效果。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三模型对照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3855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比较对象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模型状态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比较目的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A  原始Step120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本轮CPT及SFT前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衡量整条训练路线的总收益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B  最佳书籍CPT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书籍4遍 第116步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衡量书籍CPT阶段的变化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C  书籍CPT后SFT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从B继续开展QA训练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相对B衡量SFT增量 相对A衡量总收益</w:t>
            </w:r>
          </w:p>
        </w:tc>
      </w:tr>
    </w:tbl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A、B、C 使用同一冻结评测集、推理配置与评分协议，分别报告每个数据集的准确率、答对数、错转对及对转错。C相对B的变化用于衡量在当前书籍 CPT 起点上追加 SFT 的效果；C相对A的变化用于衡量整条路线的总收益。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验证标准与解释边界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实际能力验证以未参与 CPT、SFT 制数或调参的独立问答题为主，按来源和概念隔离并在训练前冻结；SC-bench 和 LogistikaBench 保留为已多次使用的公开参考集。三模型采用相同条件重复评测，结合配对变化、实际提升幅度和原 Agent／通用能力回归判断，避免仅凭单轮多答对几题宣布成功。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只有C相对B有稳定增益、相对A有实际收益，且原有能力无明显退化，才支持当前路线有效。若C优于B却未超过A，只能说明弥补了中间阶段损失。本轮未设置“Step120直接SFT”训练臂，因此不能据三模型比较证明 CPT 是必要前置步骤，也不能证明 CPT 后接 SFT 优于直接 SFT。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实施状态与结果预留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书籍问答 SFT 尚未开展。本节已明确训练起点与比较设计，训练配置、实际成绩和最终结论待实验完成后填写。</w:t>
      </w:r>
    </w:p>
    <w:p>
      <w:pPr>
        <w:pStyle w:val="Heading1"/>
        <w:keepNext/>
        <w:widowControl/>
        <w:spacing w:line="360" w:lineRule="auto" w:before="0" w:after="60"/>
      </w:pPr>
      <w:r>
        <w:rPr>
          <w:rFonts w:eastAsia="SimHei" w:ascii="Times New Roman" w:hAnsi="Times New Roman"/>
          <w:b/>
          <w:sz w:val="40"/>
        </w:rPr>
        <w:t>附录 实验身份与证据索引</w:t>
      </w:r>
    </w:p>
    <w:p>
      <w:pPr>
        <w:widowControl/>
        <w:spacing w:line="360" w:lineRule="auto" w:before="0" w:after="60"/>
        <w:jc w:val="both"/>
      </w:pPr>
      <w:r>
        <w:rPr>
          <w:rFonts w:ascii="Times New Roman" w:hAnsi="Times New Roman" w:eastAsia="SimSun"/>
          <w:b w:val="0"/>
          <w:sz w:val="30"/>
        </w:rPr>
        <w:t>本报告对应2026年9月3日至7日物流知识实验。早期长程 Agent 实验中的同名 Step120、Qwen3.8 Step70／Step120 及其他沙箱奖励实验不并入本文分数。原生与Step120主比较采用同机同栈；不混用百炼 API 分数与本地模型归因。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[1] 模型身份与训练起点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docs/qwen36_step120_logistics_adaptation_decision_20260903.md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[2] 原生与Step120正式基线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docs/qwen36_step120_logistics_stage0_evaluation_20260903.md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[3] 363题四条件诊断协议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docs/step120_qa_diagnostic_20260907.md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[4] 363题复算及8题补证结果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docs/step120_evidence_review_20260907.md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[5] 4个知识点的12问闭卷诊断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docs/step120_closed_knowledge_20260907.md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[6] 直接与改写CPT结果及历史更正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  <w:spacing w:val="-3"/>
        </w:rPr>
        <w:t>docs/qwen36_step120_logistics_exam_cpt_direct_vs_rewritten_20260904.md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[7] 答案吸收与上下文依赖补测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docs/logistics_cpt_answer_learning_followup_20260905.md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[8] 单书2遍与4遍曝光对照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docs/qwen36_step120_logistics_cpt_exposure_curve_2x4x_20260904.md</w:t>
      </w:r>
    </w:p>
    <w:p>
      <w:pPr>
        <w:pStyle w:val="Heading2"/>
        <w:keepNext/>
        <w:widowControl/>
        <w:spacing w:before="100" w:after="60" w:line="360" w:lineRule="auto"/>
      </w:pPr>
      <w:r>
        <w:rPr>
          <w:rFonts w:eastAsia="SimHei" w:ascii="Times New Roman" w:hAnsi="Times New Roman"/>
          <w:b/>
          <w:sz w:val="32"/>
        </w:rPr>
        <w:t>[9] 同题答案SFT最终结果</w:t>
      </w:r>
    </w:p>
    <w:p>
      <w:pPr>
        <w:widowControl/>
        <w:spacing w:after="6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docs/logistics_mcq_fit_results_20260907.md</w:t>
      </w:r>
    </w:p>
    <w:p>
      <w:pPr>
        <w:pStyle w:val="Heading2"/>
        <w:keepNext/>
        <w:widowControl/>
        <w:spacing w:line="360" w:lineRule="auto" w:before="100" w:after="60"/>
      </w:pPr>
      <w:r>
        <w:rPr>
          <w:rFonts w:eastAsia="SimHei" w:ascii="Times New Roman" w:hAnsi="Times New Roman"/>
          <w:b/>
          <w:sz w:val="32"/>
        </w:rPr>
        <w:t>[10] 单书首遍CPT的三轮复测</w:t>
      </w:r>
    </w:p>
    <w:p>
      <w:pPr>
        <w:widowControl/>
        <w:spacing w:line="360" w:lineRule="auto" w:before="0" w:after="60"/>
        <w:jc w:val="left"/>
      </w:pPr>
      <w:r>
        <w:rPr>
          <w:rFonts w:ascii="Times New Roman" w:hAnsi="Times New Roman" w:eastAsia="SimSun"/>
          <w:b w:val="0"/>
          <w:sz w:val="30"/>
        </w:rPr>
        <w:t>docs/qwen36_step120_logistics_cpt_five_test_diagnosis_20260904.md</w:t>
      </w:r>
    </w:p>
    <w:p>
      <w:pPr>
        <w:widowControl/>
        <w:spacing w:line="360" w:lineRule="auto" w:before="0" w:after="60"/>
        <w:jc w:val="left"/>
      </w:pPr>
      <w:r>
        <w:rPr>
          <w:rFonts w:ascii="Times New Roman" w:hAnsi="Times New Roman" w:eastAsia="SimSun"/>
          <w:b w:val="0"/>
          <w:sz w:val="3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60"/>
        <w:jc w:val="both"/>
      </w:pPr>
      <w:r>
        <w:rPr>
          <w:rFonts w:ascii="Times New Roman" w:hAnsi="Times New Roman" w:eastAsia="SimSun"/>
          <w:b w:val="0"/>
          <w:sz w:val="30"/>
        </w:rPr>
        <w:t>本文仅保留聚合计数、方法和结论，不含评测题面、标准答案、书籍原文或模型逐条输出。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Times New Roman" w:hAnsi="Times New Roman"/>
        <w:color w:val="777777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