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CPT 语料与运行说明</w:t>
      </w:r>
    </w:p>
    <w:p>
      <w:pPr>
        <w:ind w:firstLine="0" w:firstLineChars="0"/>
      </w:pPr>
      <w:r>
        <w:t>数据与训练方法说明  2026年9月16日</w:t>
      </w:r>
    </w:p>
    <w:p>
      <w:pPr/>
      <w:r>
        <w:t>本材料说明物流原文 CPT 的来源、输入格式和启动方法。运行示例对应 2026 年 9 月 11 日的完整知识语料：从 Qwen3.6-27B 的开源续训 Step120 出发，训练一遍。</w:t>
      </w:r>
    </w:p>
    <w:p>
      <w:pPr>
        <w:pStyle w:val="Heading1"/>
      </w:pPr>
      <w:r>
        <w:t>一 原始语料来源</w:t>
      </w:r>
    </w:p>
    <w:p>
      <w:pPr/>
      <w:r>
        <w:t>原始材料由用户提供，共 13 份：12 份 PDF、4,050 页，以及 1 个 HTML 教材包。正文经 MinerU 或本地文本层提取，保留章节、页码及来源关系。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cantSplit/>
          <w:tblHeader/>
        </w:trPr>
        <w:tc>
          <w:tcPr>
            <w:tcW w:type="dxa" w:w="3402"/>
            <w:vAlign w:val="center"/>
            <w:shd w:fill="E7E7E7"/>
          </w:tcPr>
          <w:p>
            <w:pPr>
              <w:keepNext/>
              <w:spacing w:after="20" w:before="20"/>
              <w:ind w:firstLine="0" w:firstLineChars="0"/>
            </w:pPr>
            <w:r>
              <w:rPr>
                <w:b/>
              </w:rPr>
              <w:t>内容方向</w:t>
            </w:r>
          </w:p>
        </w:tc>
        <w:tc>
          <w:tcPr>
            <w:tcW w:type="dxa" w:w="6236"/>
            <w:vAlign w:val="center"/>
            <w:shd w:fill="E7E7E7"/>
          </w:tcPr>
          <w:p>
            <w:pPr>
              <w:keepNext/>
              <w:spacing w:after="20" w:before="20"/>
              <w:ind w:firstLine="0" w:firstLineChars="0"/>
            </w:pPr>
            <w:r>
              <w:rPr>
                <w:b/>
              </w:rPr>
              <w:t>原始材料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港口与运输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Ports and Waterways；Container Terminals and Automated Transport Systems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配送与仓储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Distribution Logistics；Warehouse &amp; Distribution Science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供应链管理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JSI Supply Chain Manager’s Handbook；Managing Supply Chain Risk；MITx SCM Key Concepts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交通与统计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Traffic Flow Theory；Transport Statistics Glossary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贸易与战略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International Trade: Theory and Policy；Fundamentals of Global Strategy；Challenges and Opportunities in International Business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仿真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Beyond Lean: Simulation in Practice</w:t>
            </w:r>
          </w:p>
        </w:tc>
      </w:tr>
    </w:tbl>
    <w:p>
      <w:pPr/>
      <w:r>
        <w:t>在教材正文基础上，追加 205 条经核对的知识单元，来源包括 UNECE、FAA、UNCTAD、IFRS、IATA 及百科等公开资料。补充内容保留适用范围与出处。</w:t>
      </w:r>
    </w:p>
    <w:p>
      <w:pPr>
        <w:pStyle w:val="Heading1"/>
      </w:pPr>
      <w:r>
        <w:t>二 CPT 语料形态</w:t>
      </w:r>
    </w:p>
    <w:p>
      <w:pPr/>
      <w:r>
        <w:t>训练输入是连续知识文本，不是问答对。清洗后按完整文本块组织记录，去除无关版面内容并去重；表格保留结构，公式保留表达。正文不套聊天模板，不跨书混拼。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2268"/>
        <w:gridCol w:w="2268"/>
      </w:tblGrid>
      <w:tr>
        <w:trPr>
          <w:cantSplit/>
          <w:tblHeader/>
        </w:trPr>
        <w:tc>
          <w:tcPr>
            <w:tcW w:type="dxa" w:w="5102"/>
            <w:vAlign w:val="center"/>
            <w:shd w:fill="E7E7E7"/>
          </w:tcPr>
          <w:p>
            <w:pPr>
              <w:keepNext/>
              <w:spacing w:after="20" w:before="20"/>
              <w:ind w:firstLine="0" w:firstLineChars="0"/>
            </w:pPr>
            <w:r>
              <w:rPr>
                <w:b/>
              </w:rPr>
              <w:t>语料版本</w:t>
            </w:r>
          </w:p>
        </w:tc>
        <w:tc>
          <w:tcPr>
            <w:tcW w:type="dxa" w:w="2268"/>
            <w:vAlign w:val="center"/>
            <w:shd w:fill="E7E7E7"/>
          </w:tcPr>
          <w:p>
            <w:pPr>
              <w:keepNext/>
              <w:spacing w:after="20" w:before="20"/>
              <w:ind w:firstLine="0" w:firstLineChars="0"/>
            </w:pPr>
            <w:r>
              <w:rPr>
                <w:b/>
              </w:rPr>
              <w:t>记录数</w:t>
            </w:r>
          </w:p>
        </w:tc>
        <w:tc>
          <w:tcPr>
            <w:tcW w:type="dxa" w:w="2268"/>
            <w:vAlign w:val="center"/>
            <w:shd w:fill="E7E7E7"/>
          </w:tcPr>
          <w:p>
            <w:pPr>
              <w:keepNext/>
              <w:spacing w:after="20" w:before="20"/>
              <w:ind w:firstLine="0" w:firstLineChars="0"/>
            </w:pPr>
            <w:r>
              <w:rPr>
                <w:b/>
              </w:rPr>
              <w:t>正文 token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全部 13 份教材</w:t>
            </w:r>
          </w:p>
        </w:tc>
        <w:tc>
          <w:tcPr>
            <w:tcW w:type="dxa" w:w="2268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4,707</w:t>
            </w:r>
          </w:p>
        </w:tc>
        <w:tc>
          <w:tcPr>
            <w:tcW w:type="dxa" w:w="2268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1,844,881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新增知识单元</w:t>
            </w:r>
          </w:p>
        </w:tc>
        <w:tc>
          <w:tcPr>
            <w:tcW w:type="dxa" w:w="2268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205</w:t>
            </w:r>
          </w:p>
        </w:tc>
        <w:tc>
          <w:tcPr>
            <w:tcW w:type="dxa" w:w="2268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23,131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合并训练集</w:t>
            </w:r>
          </w:p>
        </w:tc>
        <w:tc>
          <w:tcPr>
            <w:tcW w:type="dxa" w:w="2268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4,912</w:t>
            </w:r>
          </w:p>
        </w:tc>
        <w:tc>
          <w:tcPr>
            <w:tcW w:type="dxa" w:w="2268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1,868,012</w:t>
            </w:r>
          </w:p>
        </w:tc>
      </w:tr>
    </w:tbl>
    <w:p>
      <w:pPr/>
      <w:r>
        <w:t>交付为同内容 JSONL 和 Parquet。训练器读取 text 字段；来源、章节及页码通过配套索引追踪。以下为字段示意，正文为演示文本。</w:t>
      </w:r>
    </w:p>
    <w:p>
      <w:pPr>
        <w:pStyle w:val="CodeText"/>
        <w:keepNext w:val="0"/>
        <w:shd w:fill="F2F2F2"/>
      </w:pPr>
      <w:r>
        <w:t>{"text":"仓储知识示例：库存盘点需要核对账面数量与实物数量。"}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cantSplit/>
          <w:tblHeader/>
        </w:trPr>
        <w:tc>
          <w:tcPr>
            <w:tcW w:type="dxa" w:w="3402"/>
            <w:vAlign w:val="center"/>
            <w:shd w:fill="E7E7E7"/>
          </w:tcPr>
          <w:p>
            <w:pPr>
              <w:keepNext/>
              <w:spacing w:after="20" w:before="20"/>
              <w:ind w:firstLine="0" w:firstLineChars="0"/>
            </w:pPr>
            <w:r>
              <w:rPr>
                <w:b/>
              </w:rPr>
              <w:t>读取规则</w:t>
            </w:r>
          </w:p>
        </w:tc>
        <w:tc>
          <w:tcPr>
            <w:tcW w:type="dxa" w:w="6236"/>
            <w:vAlign w:val="center"/>
            <w:shd w:fill="E7E7E7"/>
          </w:tcPr>
          <w:p>
            <w:pPr>
              <w:keepNext/>
              <w:spacing w:after="20" w:before="20"/>
              <w:ind w:firstLine="0" w:firstLineChars="0"/>
            </w:pPr>
            <w:r>
              <w:rPr>
                <w:b/>
              </w:rPr>
              <w:t>设置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数据入口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train.parquet；text_key=text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结束标记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加载器追加一次 EOS，不在正文手工添加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最大长度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4,096 token；本批最大 4,085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超长处理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报错，不静默截断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训练方式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原文下一 token 预测；无聊天模板</w:t>
            </w:r>
          </w:p>
        </w:tc>
      </w:tr>
    </w:tbl>
    <w:p>
      <w:pPr/>
      <w:r>
        <w:t>本版本包含评测来源教材，属于定向学习实验。评测题目和答案文件本身不进入该语料；相关基准成绩不能作为独立泛化证明。</w:t>
      </w:r>
    </w:p>
    <w:p>
      <w:pPr>
        <w:pStyle w:val="Heading1"/>
      </w:pPr>
      <w:r>
        <w:t>三 CPT 脚本运行指令</w:t>
      </w:r>
    </w:p>
    <w:p>
      <w:pPr/>
      <w:r>
        <w:t>在 5 号机 llin-verl-trainer-m05-20260730 容器内执行。需已有 Step120 模型、分布式权重、固定 Megatron Bridge 及训练文件。脚本固定本批 4,912 条、batch 8、614 步，不能直接用于其他规模语料。</w:t>
      </w:r>
    </w:p>
    <w:p>
      <w:pPr>
        <w:pStyle w:val="CodeText"/>
        <w:keepNext/>
        <w:shd w:fill="F2F2F2"/>
      </w:pPr>
      <w:r>
        <w:t>source /usr/local/Ascend/ascend-toolkit/set_env.sh</w:t>
      </w:r>
    </w:p>
    <w:p>
      <w:pPr>
        <w:pStyle w:val="CodeText"/>
        <w:keepNext/>
        <w:shd w:fill="F2F2F2"/>
      </w:pPr>
      <w:r>
        <w:t>cd /workspace/llin-verl-grpo</w:t>
      </w:r>
    </w:p>
    <w:p>
      <w:pPr>
        <w:pStyle w:val="CodeText"/>
        <w:keepNext/>
        <w:shd w:fill="F2F2F2"/>
      </w:pPr>
      <w:r>
        <w:t>export PROJECT_ROOT="$PWD"</w:t>
      </w:r>
    </w:p>
    <w:p>
      <w:pPr>
        <w:pStyle w:val="CodeText"/>
        <w:keepNext/>
        <w:shd w:fill="F2F2F2"/>
      </w:pPr>
      <w:r>
        <w:t>export TRAIN_FILE="$PWD/runs/llin-knowledge-complete-20260911/train.parquet"</w:t>
      </w:r>
    </w:p>
    <w:p>
      <w:pPr>
        <w:pStyle w:val="CodeText"/>
        <w:keepNext/>
        <w:shd w:fill="F2F2F2"/>
      </w:pPr>
      <w:r>
        <w:t>export EXPECTED_CONTENT_TOKENS=1868012</w:t>
      </w:r>
    </w:p>
    <w:p>
      <w:pPr>
        <w:pStyle w:val="CodeText"/>
        <w:keepNext/>
        <w:shd w:fill="F2F2F2"/>
      </w:pPr>
      <w:r>
        <w:t>sha=6ffa16684e617f657293918bf1d89ae8930</w:t>
      </w:r>
    </w:p>
    <w:p>
      <w:pPr>
        <w:pStyle w:val="CodeText"/>
        <w:keepNext/>
        <w:shd w:fill="F2F2F2"/>
      </w:pPr>
      <w:r>
        <w:t>sha+=ec24e0e08da346f175c4710c1f1c8</w:t>
      </w:r>
    </w:p>
    <w:p>
      <w:pPr>
        <w:pStyle w:val="CodeText"/>
        <w:keepNext/>
        <w:shd w:fill="F2F2F2"/>
      </w:pPr>
      <w:r>
        <w:t>export EXPECTED_TRAIN_SHA="$sha"</w:t>
      </w:r>
    </w:p>
    <w:p>
      <w:pPr>
        <w:pStyle w:val="CodeText"/>
        <w:keepNext/>
        <w:shd w:fill="F2F2F2"/>
      </w:pPr>
      <w:r>
        <w:t>export RUN_NAME="llin-cpt-knowledge-replay-$(date +%Y%m%d-%H%M%S)"</w:t>
      </w:r>
    </w:p>
    <w:p>
      <w:pPr>
        <w:pStyle w:val="CodeText"/>
        <w:keepNext/>
        <w:shd w:fill="F2F2F2"/>
      </w:pPr>
      <w:r>
        <w:t>export OUTPUT_DIR="$PWD/runs/$RUN_NAME"</w:t>
      </w:r>
    </w:p>
    <w:p>
      <w:pPr>
        <w:pStyle w:val="CodeText"/>
        <w:keepNext w:val="0"/>
        <w:shd w:fill="F2F2F2"/>
      </w:pPr>
      <w:r>
        <w:t>bash scripts/run_cpt_knowledge_complete_one_epoch.sh</w:t>
      </w:r>
    </w:p>
    <w:p>
      <w:pPr/>
      <w:r>
        <w:t>默认起点为 llin-step120-opensource-20260825-02。16 张 NPU，TP4/PP2/CP2；学习率 5e-7 至 1e-7。第 614 步保存检查点，导出后用于推理。</w:t>
      </w:r>
    </w:p>
    <w:p>
      <w:pPr/>
      <w:r>
        <w:t>此处复用 veRL 的 sft_trainer 入口，通过原文加载器执行 CPT。新输出目录须不存在；脚本自动检查文件指纹与完整加载。</w:t>
      </w:r>
    </w:p>
    <w:p>
      <w:pPr>
        <w:pStyle w:val="Heading1"/>
      </w:pPr>
      <w:r>
        <w:t>依据</w:t>
      </w:r>
    </w:p>
    <w:p>
      <w:pPr>
        <w:spacing w:line="288" w:lineRule="auto"/>
      </w:pPr>
      <w:r>
        <w:rPr>
          <w:sz w:val="24"/>
        </w:rPr>
        <w:t>本仓库 docs/cpt_complete_package_20260911.md、docs/cpt_knowledge_complete_one_epoch_20260911.md；scripts/run_cpt_knowledge_complete_one_epoch.sh、scripts/qwen36_causal_lm_dataset.py。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 w:before="0"/>
      <w:ind w:firstLine="600" w:firstLineChars="200"/>
    </w:pPr>
    <w:rPr>
      <w:rFonts w:ascii="Times New Roman" w:hAnsi="Times New Roman" w:cs="Times New Roman" w:eastAsia="宋体"/>
      <w:color w:val="000000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60" w:line="360" w:lineRule="auto"/>
      <w:ind w:firstLine="0" w:firstLineChars="0"/>
      <w:outlineLvl w:val="0"/>
    </w:pPr>
    <w:rPr>
      <w:rFonts w:cstheme="majorBidi" w:ascii="Times New Roman" w:hAnsi="Times New Roman" w:cs="Times New Roman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60" w:line="360" w:lineRule="auto"/>
      <w:ind w:firstLine="0" w:firstLineChars="0"/>
      <w:outlineLvl w:val="1"/>
    </w:pPr>
    <w:rPr>
      <w:rFonts w:cstheme="majorBidi" w:ascii="Times New Roman" w:hAnsi="Times New Roman" w:cs="Times New Roman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360" w:lineRule="auto" w:before="0"/>
      <w:ind w:firstLine="0" w:firstLineChars="0"/>
      <w:contextualSpacing/>
    </w:pPr>
    <w:rPr>
      <w:rFonts w:cstheme="majorBidi" w:ascii="Times New Roman" w:hAnsi="Times New Roman" w:cs="Times New Roman" w:eastAsia="黑体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ext">
    <w:name w:val="CodeText"/>
    <w:pPr>
      <w:spacing w:line="360" w:lineRule="auto" w:after="0"/>
      <w:ind w:firstLine="0"/>
    </w:pPr>
    <w:rPr>
      <w:rFonts w:ascii="Times New Roman" w:hAnsi="Times New Roman" w:cs="Times New Roman" w:eastAsia="宋体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CPT 语料与运行说明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