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pageBreakBefore w:val="0"/>
        <w:widowControl/>
        <w:spacing w:line="360" w:lineRule="auto" w:before="0" w:after="80"/>
        <w:ind w:firstLineChars="0" w:firstLine="0"/>
      </w:pPr>
      <w:r>
        <w:rPr>
          <w:rFonts w:ascii="Times New Roman" w:hAnsi="Times New Roman" w:eastAsia="SimHei"/>
          <w:b/>
          <w:sz w:val="48"/>
          <w:color w:val="000000"/>
        </w:rPr>
        <w:t>Step120物流知识优化实验</w:t>
      </w:r>
    </w:p>
    <w:p>
      <w:pPr>
        <w:pStyle w:val="Subtitle"/>
        <w:keepNext w:val="0"/>
        <w:pageBreakBefore w:val="0"/>
        <w:widowControl/>
        <w:spacing w:line="360" w:lineRule="auto" w:before="0" w:after="80"/>
        <w:ind w:firstLineChars="0" w:firstLine="0"/>
      </w:pPr>
      <w:r>
        <w:rPr>
          <w:rFonts w:ascii="Times New Roman" w:hAnsi="Times New Roman" w:eastAsia="SimSun"/>
          <w:b w:val="0"/>
          <w:sz w:val="30"/>
          <w:color w:val="000000"/>
        </w:rPr>
        <w:t>阶段报告  2026年9月7日</w:t>
      </w:r>
    </w:p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本报告围绕一条优化路径展开：从基线比较发现提升空间，通过诊断和 CPT 检验知识学习效果，再以书籍问答 SFT 强化知识应用，最后用未做 SFT 的模型对照验证收益。</w:t>
      </w:r>
    </w:p>
    <w:p>
      <w:pPr>
        <w:pStyle w:val="Heading1"/>
        <w:keepNext/>
        <w:pageBreakBefore w:val="0"/>
        <w:widowControl/>
        <w:spacing w:line="360" w:lineRule="auto" w:before="240" w:after="120"/>
        <w:ind w:firstLineChars="0" w:firstLine="0"/>
      </w:pPr>
      <w:r>
        <w:rPr>
          <w:rFonts w:eastAsia="SimHei" w:ascii="Times New Roman" w:hAnsi="Times New Roman"/>
          <w:b/>
          <w:sz w:val="40"/>
          <w:color w:val="000000"/>
        </w:rPr>
        <w:t>一 背景 明确专项优化方向</w:t>
      </w:r>
    </w:p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在同机、同推理配置下，对比原生 Qwen3.6-27B 与 Step120 在 LogistikaBench、SC-bench 知识题上的表现。[2]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评测范围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原生模型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Step120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变化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LogistikaBench  1446题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81.26%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81.60%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+0.35点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SC-bench知识题  226题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83.19%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83.63%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+0.44点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合计  1672题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81.52%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81.88%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+0.36点</w:t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两模型得分接近，说明现有训练带来的物流知识问答增益较小。本轮以错题为切入点，定位原因并开展专项优化。 表中变化单位为百分点。</w:t>
      </w:r>
    </w:p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本文 Step120 指2026年8月25日完成100步垂域 GRPO 与20步开源数据训练的模型；“原始 Step120”指本轮 CPT、SFT 之前的权重。[1]</w:t>
      </w:r>
    </w:p>
    <w:p>
      <w:pPr>
        <w:pStyle w:val="Heading1"/>
        <w:keepNext/>
        <w:pageBreakBefore/>
        <w:widowControl/>
        <w:spacing w:line="360" w:lineRule="auto" w:before="240" w:after="120"/>
        <w:ind w:firstLineChars="0" w:firstLine="0"/>
      </w:pPr>
      <w:r>
        <w:rPr>
          <w:rFonts w:eastAsia="SimHei" w:ascii="Times New Roman" w:hAnsi="Times New Roman"/>
          <w:b/>
          <w:sz w:val="40"/>
          <w:color w:val="000000"/>
        </w:rPr>
        <w:t>二 探测 区分知识储备与知识应用</w:t>
      </w:r>
    </w:p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探测回答两个问题：模型是否掌握相关知识，以及能否在具体题目中正确使用知识。固定原始 Step120，设置原题闭卷、原题加教材、基础题闭卷、基础题加教材四种条件，各重复3轮；检索不使用标准答案，基础题与资料质量分别审核。[3]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2268"/>
        <w:gridCol w:w="2268"/>
      </w:tblGrid>
      <w:tr>
        <w:trPr>
          <w:cantSplit/>
          <w:tblHeader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样本与条件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闭卷答对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加教材答对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历史错题  303题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6/303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58/303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原答对对照  60题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57/60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54/60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历史错题中的有效基础题  65题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59/65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64/65</w:t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基础题表现说明部分相关知识可被调用；加入教材改善了部分错题，但原题作答仍存在差距。进一步的闭卷问答将优化重点指向概念辨析和情景应用，详见附录。[4][5]</w:t>
      </w:r>
    </w:p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原题与基础题的难度、分母不同，不能直接相减归因。诊断据此形成两条验证路径：用 CPT 检验补充知识文本的收益，用 SFT 检验问答监督的收益。</w:t>
      </w:r>
    </w:p>
    <w:p>
      <w:pPr>
        <w:pStyle w:val="Heading1"/>
        <w:keepNext/>
        <w:pageBreakBefore/>
        <w:widowControl/>
        <w:spacing w:line="360" w:lineRule="auto" w:before="240" w:after="120"/>
        <w:ind w:firstLineChars="0" w:firstLine="0"/>
      </w:pPr>
      <w:r>
        <w:rPr>
          <w:rFonts w:eastAsia="SimHei" w:ascii="Times New Roman" w:hAnsi="Times New Roman"/>
          <w:b/>
          <w:sz w:val="40"/>
          <w:color w:val="000000"/>
        </w:rPr>
        <w:t>三 方案一 用 CPT 检验知识补充效果</w:t>
      </w:r>
    </w:p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将评测基准转为文本语料，检验显式学习相关知识后能否提高问答得分。直接题面与改写题面两组均从原始 Step120 启动，各训练4遍、64步，再按统一三轮多数票口径评测。[6]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2098"/>
        <w:gridCol w:w="1984"/>
        <w:gridCol w:w="2041"/>
      </w:tblGrid>
      <w:tr>
        <w:trPr>
          <w:cantSplit/>
          <w:tblHeader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答对数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准确率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相对Step120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原始Step120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1369/1672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81.878%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—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直接题面CPT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1381/1672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82.596%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+0.7177点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改写题面CPT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1373/1672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82.117%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+0.2392点</w:t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CPT 后得分小幅提升，训练损失也下降，但文本学习没有充分转化为问答收益。结合第二部分诊断，优化重点从单纯补充知识文本转向知识调用与应用。</w:t>
      </w:r>
    </w:p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这一结果支持开展问答 SFT，但不足以证明知识完全无缺失。本组使用了评测题及答案，成绩仅用于同题诊断，不代表未见题目的泛化能力。</w:t>
      </w:r>
    </w:p>
    <w:p>
      <w:pPr>
        <w:pStyle w:val="Heading1"/>
        <w:keepNext/>
        <w:pageBreakBefore/>
        <w:widowControl/>
        <w:spacing w:line="360" w:lineRule="auto" w:before="240" w:after="120"/>
        <w:ind w:firstLineChars="0" w:firstLine="0"/>
      </w:pPr>
      <w:r>
        <w:rPr>
          <w:rFonts w:eastAsia="SimHei" w:ascii="Times New Roman" w:hAnsi="Times New Roman"/>
          <w:b/>
          <w:sz w:val="40"/>
          <w:color w:val="000000"/>
        </w:rPr>
        <w:t>四 方案二 将书籍转为问答开展 SFT</w:t>
      </w:r>
    </w:p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针对知识调用与应用，将采集书籍转为有出处、经复核的问答对，覆盖事实校准、概念辨析、条件判断和情景应用。训练目标是让模型在问题条件下准确组织知识并作答。</w:t>
      </w:r>
    </w:p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训练路线为：原始 Step120 → 书籍原文 CPT → 书籍问答 SFT。SFT 从书籍 CPT 得分最高的四遍模型启动，对应第116步。这里使用的是书籍 CPT 模型，与方案一的评测题 CPT 模型分开。[8]</w:t>
      </w:r>
    </w:p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SFT 沿用该模型权重，重新初始化优化器与训练日程。问答数据来自独立书籍内容，不使用公开评测答案、错题派生诊断题或定向补证资料。训练起点的候选比较见附录。</w:t>
      </w:r>
    </w:p>
    <w:p>
      <w:pPr>
        <w:pStyle w:val="Heading1"/>
        <w:keepNext/>
        <w:pageBreakBefore/>
        <w:widowControl/>
        <w:spacing w:line="360" w:lineRule="auto" w:before="240" w:after="120"/>
        <w:ind w:firstLineChars="0" w:firstLine="0"/>
      </w:pPr>
      <w:r>
        <w:rPr>
          <w:rFonts w:eastAsia="SimHei" w:ascii="Times New Roman" w:hAnsi="Times New Roman"/>
          <w:b/>
          <w:sz w:val="40"/>
          <w:color w:val="000000"/>
        </w:rPr>
        <w:t>五 方案三 用未做 SFT 的模型验证收益</w:t>
      </w:r>
    </w:p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保留原始 Step120 和最佳书籍 CPT 两个未做 SFT 的对照，与书籍 SFT 模型统一评测。原始 Step120 用于判断整条路线是否提升；书籍 CPT 对照用于分离追加 SFT 的收益。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3855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比较对象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模型状态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比较目的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A  原始Step120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本轮CPT及SFT前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衡量整条训练路线的总收益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B  最佳书籍CPT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书籍4遍 第116步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衡量书籍CPT阶段的变化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C  书籍CPT后SFT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从 B 完成 QA 训练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相对B衡量SFT增量 相对A衡量总收益</w:t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三模型采用相同题集、推理配置与评分口径。SC-bench 与 LogistikaBench 作为公开参考集；独立题集用于检验泛化，原有 Agent 与通用能力纳入回归评估。</w:t>
      </w:r>
    </w:p>
    <w:p>
      <w:pPr>
        <w:pStyle w:val="Heading2"/>
        <w:keepNext/>
        <w:pageBreakBefore w:val="0"/>
        <w:widowControl/>
        <w:spacing w:line="360" w:lineRule="auto" w:before="160" w:after="120"/>
        <w:ind w:firstLineChars="0" w:firstLine="0"/>
      </w:pPr>
      <w:r>
        <w:rPr>
          <w:rFonts w:eastAsia="SimHei" w:ascii="Times New Roman" w:hAnsi="Times New Roman"/>
          <w:b/>
          <w:sz w:val="32"/>
          <w:color w:val="000000"/>
        </w:rPr>
        <w:t>评测准确率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2016"/>
        <w:gridCol w:w="1872"/>
        <w:gridCol w:w="1872"/>
      </w:tblGrid>
      <w:tr>
        <w:trPr>
          <w:cantSplit/>
          <w:tblHeader/>
        </w:trPr>
        <w:tc>
          <w:tcPr>
            <w:tcW w:type="dxa" w:w="316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评测集</w:t>
            </w:r>
          </w:p>
        </w:tc>
        <w:tc>
          <w:tcPr>
            <w:tcW w:type="dxa" w:w="201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A 原始 Step120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B 书籍 CPT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C 书籍 SFT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LogistikaBench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81.60%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SC-bench 知识题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83.63%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合计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81.878%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81.998%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 C 相对 B 的变化衡量 SFT 增量，以 C 相对 A 的变化衡量总收益。本组回答“SFT 是否带来提升”；未设置 Step120 直接 SFT 对照，不据此判断 CPT 是否为必要步骤。</w:t>
      </w:r>
    </w:p>
    <w:p>
      <w:pPr>
        <w:pStyle w:val="Heading2"/>
        <w:keepNext/>
        <w:pageBreakBefore w:val="0"/>
        <w:widowControl/>
        <w:spacing w:line="360" w:lineRule="auto" w:before="160" w:after="840"/>
        <w:ind w:firstLineChars="0" w:firstLine="0"/>
      </w:pPr>
      <w:r>
        <w:rPr>
          <w:rFonts w:eastAsia="SimHei" w:ascii="Times New Roman" w:hAnsi="Times New Roman"/>
          <w:b/>
          <w:sz w:val="32"/>
          <w:color w:val="000000"/>
        </w:rPr>
        <w:t>实验结论</w:t>
      </w:r>
    </w:p>
    <w:p>
      <w:pPr>
        <w:pStyle w:val="Heading1"/>
        <w:keepNext/>
        <w:pageBreakBefore/>
        <w:widowControl/>
        <w:spacing w:line="360" w:lineRule="auto" w:before="240" w:after="120"/>
        <w:ind w:firstLineChars="0" w:firstLine="0"/>
      </w:pPr>
      <w:r>
        <w:rPr>
          <w:rFonts w:eastAsia="SimHei" w:ascii="Times New Roman" w:hAnsi="Times New Roman"/>
          <w:b/>
          <w:sz w:val="40"/>
          <w:color w:val="000000"/>
        </w:rPr>
        <w:t>附录一 诊断与训练补充证据</w:t>
      </w:r>
    </w:p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以下保留方法细节及补充实验，用于核查正文结论。</w:t>
      </w:r>
    </w:p>
    <w:p>
      <w:pPr>
        <w:pStyle w:val="Heading2"/>
        <w:keepNext/>
        <w:pageBreakBefore w:val="0"/>
        <w:widowControl/>
        <w:spacing w:line="360" w:lineRule="auto" w:before="160" w:after="120"/>
        <w:ind w:firstLineChars="0" w:firstLine="0"/>
      </w:pPr>
      <w:r>
        <w:rPr>
          <w:rFonts w:eastAsia="SimHei" w:ascii="Times New Roman" w:hAnsi="Times New Roman"/>
          <w:b/>
          <w:sz w:val="32"/>
          <w:color w:val="000000"/>
        </w:rPr>
        <w:t>1 CPT 逐题变化与学习表现</w:t>
      </w:r>
    </w:p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配对结果按原始 Step120 逐题比较；p 值未经多重比较校正。[6]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2808"/>
        <w:gridCol w:w="2808"/>
      </w:tblGrid>
      <w:tr>
        <w:trPr>
          <w:cantSplit/>
          <w:tblHeader/>
        </w:trPr>
        <w:tc>
          <w:tcPr>
            <w:tcW w:type="dxa" w:w="331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指标</w:t>
            </w:r>
          </w:p>
        </w:tc>
        <w:tc>
          <w:tcPr>
            <w:tcW w:type="dxa" w:w="280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直接题面 CPT</w:t>
            </w:r>
          </w:p>
        </w:tc>
        <w:tc>
          <w:tcPr>
            <w:tcW w:type="dxa" w:w="280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改写题面 CPT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错转对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21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10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对转错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9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净增答对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12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4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未校正检验 p 值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0.0428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0.4545</w:t>
            </w:r>
          </w:p>
        </w:tc>
      </w:tr>
    </w:tbl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训练损失与答案位置负对数似然（NLL，越低越好）如下。NLL 改善较依赖原训练上下文。[7]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3168"/>
        <w:gridCol w:w="1872"/>
        <w:gridCol w:w="1872"/>
      </w:tblGrid>
      <w:tr>
        <w:trPr>
          <w:cantSplit/>
          <w:tblHeader/>
        </w:trPr>
        <w:tc>
          <w:tcPr>
            <w:tcW w:type="dxa" w:w="201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指标</w:t>
            </w:r>
          </w:p>
        </w:tc>
        <w:tc>
          <w:tcPr>
            <w:tcW w:type="dxa" w:w="316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比较口径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起始值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结束值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训练损失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直接组 第1至4遍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3.8054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2.1378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训练损失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改写组 第1至4遍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3.4648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2.1423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答案 NLL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原训练上下文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4.7873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2.4873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答案 NLL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独立题面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2.8990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2.6632</w:t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直接组保留题干和正确答案，删除干扰项；改写组有1625题通过审核、47题保留原题。判断题沿用原命题并附真假结论，未全部转成正向知识陈述。</w:t>
      </w:r>
    </w:p>
    <w:p>
      <w:pPr>
        <w:pStyle w:val="Heading2"/>
        <w:keepNext/>
        <w:pageBreakBefore w:val="0"/>
        <w:widowControl/>
        <w:spacing w:line="360" w:lineRule="auto" w:before="160" w:after="120"/>
        <w:ind w:firstLineChars="0" w:firstLine="0"/>
      </w:pPr>
      <w:r>
        <w:rPr>
          <w:rFonts w:eastAsia="SimHei" w:ascii="Times New Roman" w:hAnsi="Times New Roman"/>
          <w:b/>
          <w:sz w:val="32"/>
          <w:color w:val="000000"/>
        </w:rPr>
        <w:t>2 书籍 CPT 与 SFT 起点</w:t>
      </w:r>
    </w:p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书籍原文 CPT 的学习表现与问答结果如下。[8]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4"/>
        <w:gridCol w:w="2448"/>
        <w:gridCol w:w="2736"/>
      </w:tblGrid>
      <w:tr>
        <w:trPr>
          <w:cantSplit/>
          <w:tblHeader/>
        </w:trPr>
        <w:tc>
          <w:tcPr>
            <w:tcW w:type="dxa" w:w="3744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指标</w:t>
            </w:r>
          </w:p>
        </w:tc>
        <w:tc>
          <w:tcPr>
            <w:tcW w:type="dxa" w:w="244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原始 Step120</w:t>
            </w:r>
          </w:p>
        </w:tc>
        <w:tc>
          <w:tcPr>
            <w:tcW w:type="dxa" w:w="273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书籍 CPT 四遍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书内 NLL 相对改善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基准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4.126%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书内改写题答对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189/200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189/200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公开题答对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1369/1672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1371/1672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公开题准确率增量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基准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+0.1196个百分点</w:t>
            </w:r>
          </w:p>
        </w:tc>
      </w:tr>
    </w:tbl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各候选按统一三轮多数票口径比较。[8][10]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4"/>
        <w:gridCol w:w="2736"/>
        <w:gridCol w:w="2448"/>
      </w:tblGrid>
      <w:tr>
        <w:trPr>
          <w:cantSplit/>
          <w:tblHeader/>
        </w:trPr>
        <w:tc>
          <w:tcPr>
            <w:tcW w:type="dxa" w:w="3744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</w:t>
            </w:r>
          </w:p>
        </w:tc>
        <w:tc>
          <w:tcPr>
            <w:tcW w:type="dxa" w:w="273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答对数</w:t>
            </w:r>
          </w:p>
        </w:tc>
        <w:tc>
          <w:tcPr>
            <w:tcW w:type="dxa" w:w="244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相对 Step120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原始 Step120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1369/1672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基准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 CPT 一遍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1370/1672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+1题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 CPT 两遍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1366/1672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−3题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 CPT 四遍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1371/1672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+2题</w:t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所选四遍模型标识为 qwen3.6-27b-step120-handbook8e-cpt-4x。选择依据是已测候选得分最高，稳定收益由统一评测检验。</w:t>
      </w:r>
    </w:p>
    <w:p>
      <w:pPr>
        <w:pStyle w:val="Heading2"/>
        <w:keepNext/>
        <w:pageBreakBefore w:val="0"/>
        <w:widowControl/>
        <w:spacing w:line="360" w:lineRule="auto" w:before="160" w:after="120"/>
        <w:ind w:firstLineChars="0" w:firstLine="0"/>
      </w:pPr>
      <w:r>
        <w:rPr>
          <w:rFonts w:eastAsia="SimHei" w:ascii="Times New Roman" w:hAnsi="Times New Roman"/>
          <w:b/>
          <w:sz w:val="32"/>
          <w:color w:val="000000"/>
        </w:rPr>
        <w:t>3 补证与闭卷诊断</w:t>
      </w:r>
    </w:p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原题诊断样本包括303道历史错题（LogistikaBench 266题、SC-bench 37题）及60道原答对题。提示与正式评测不同，因此历史错题可在诊断中答对。[3][4]</w:t>
      </w:r>
    </w:p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自动审核中259/363条记录缺失或无效，不能据此判断教材覆盖。复核8题发现资料不足、缺图、重复选项及诊断题过浅等问题。[4]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3888"/>
        <w:gridCol w:w="2160"/>
      </w:tblGrid>
      <w:tr>
        <w:trPr>
          <w:cantSplit/>
          <w:tblHeader/>
        </w:trPr>
        <w:tc>
          <w:tcPr>
            <w:tcW w:type="dxa" w:w="2880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样本</w:t>
            </w:r>
          </w:p>
        </w:tc>
        <w:tc>
          <w:tcPr>
            <w:tcW w:type="dxa" w:w="388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条件</w:t>
            </w:r>
          </w:p>
        </w:tc>
        <w:tc>
          <w:tcPr>
            <w:tcW w:type="dxa" w:w="2160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答对数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定向补证 4题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闭卷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0/4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同上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原教材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0/4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同上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核实补证资料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4/4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题型提示 8题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仅增加题型提示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0/8</w:t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补证资料在查阅标准答案后按相关概念定向选取，结果不能外推至全部错题，也不足以区分知识缺失与调用困难。</w:t>
      </w:r>
    </w:p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围绕相关知识点设置定义、辨析和应用问答，各重复3轮，结果如下。[5]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1872"/>
        <w:gridCol w:w="3888"/>
      </w:tblGrid>
      <w:tr>
        <w:trPr>
          <w:cantSplit/>
          <w:tblHeader/>
        </w:trPr>
        <w:tc>
          <w:tcPr>
            <w:tcW w:type="dxa" w:w="316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诊断项目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通过数</w:t>
            </w:r>
          </w:p>
        </w:tc>
        <w:tc>
          <w:tcPr>
            <w:tcW w:type="dxa" w:w="388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评分口径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定义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2/4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预设核心要点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辨析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3/4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预设核心要点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应用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1/4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预设核心要点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合计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6/12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预设核心要点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合计 严格复核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5/12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同时排除附加事实错误</w:t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每问至少2/3轮达到预设核心要点才计通过。附加事实错误核查属于事后敏感性分析；样本仅用于定向诊断，不作全领域外推。</w:t>
      </w:r>
    </w:p>
    <w:p>
      <w:pPr>
        <w:pStyle w:val="Heading2"/>
        <w:keepNext/>
        <w:pageBreakBefore w:val="0"/>
        <w:widowControl/>
        <w:spacing w:line="360" w:lineRule="auto" w:before="160" w:after="120"/>
        <w:ind w:firstLineChars="0" w:firstLine="0"/>
      </w:pPr>
      <w:r>
        <w:rPr>
          <w:rFonts w:eastAsia="SimHei" w:ascii="Times New Roman" w:hAnsi="Times New Roman"/>
          <w:b/>
          <w:sz w:val="32"/>
          <w:color w:val="000000"/>
        </w:rPr>
        <w:t>4 同题答案 SFT 补充实验</w:t>
      </w:r>
    </w:p>
    <w:p>
      <w:pPr>
        <w:keepNext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以全部1672道原题、完整选项及正确答案训练，仅监督答案与结束标记。[9]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032"/>
        <w:gridCol w:w="2016"/>
        <w:gridCol w:w="2880"/>
      </w:tblGrid>
      <w:tr>
        <w:trPr>
          <w:cantSplit/>
          <w:tblHeader/>
        </w:trPr>
        <w:tc>
          <w:tcPr>
            <w:tcW w:type="dxa" w:w="403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</w:t>
            </w:r>
          </w:p>
        </w:tc>
        <w:tc>
          <w:tcPr>
            <w:tcW w:type="dxa" w:w="201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训练遍数</w:t>
            </w:r>
          </w:p>
        </w:tc>
        <w:tc>
          <w:tcPr>
            <w:tcW w:type="dxa" w:w="2880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同题准确率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原始 Step120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</w:t>
            </w:r>
          </w:p>
        </w:tc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81.88%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答案 SFT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</w:t>
            </w:r>
          </w:p>
        </w:tc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93.18%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答案 SFT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</w:t>
            </w:r>
          </w:p>
        </w:tc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94.44%</w:t>
            </w:r>
          </w:p>
        </w:tc>
      </w:tr>
    </w:tbl>
    <w:p>
      <w:pPr>
        <w:keepNext w:val="0"/>
        <w:pageBreakBefore w:val="0"/>
        <w:widowControl/>
        <w:spacing w:line="360" w:lineRule="auto" w:before="0" w:after="80"/>
        <w:ind w:firstLineChars="200" w:firstLine="6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该实验说明答案监督能提高同题拟合，不代表未见题目上的提升。其数据来源和模型均与正文的独立书籍 SFT 分开。</w:t>
      </w:r>
    </w:p>
    <w:p>
      <w:pPr>
        <w:pStyle w:val="Heading1"/>
        <w:keepNext/>
        <w:pageBreakBefore/>
        <w:widowControl/>
        <w:spacing w:line="360" w:lineRule="auto" w:before="240" w:after="120"/>
        <w:ind w:firstLineChars="0" w:firstLine="0"/>
      </w:pPr>
      <w:r>
        <w:rPr>
          <w:rFonts w:eastAsia="SimHei" w:ascii="Times New Roman" w:hAnsi="Times New Roman"/>
          <w:b/>
          <w:sz w:val="40"/>
          <w:color w:val="000000"/>
        </w:rPr>
        <w:t>附录二 实验范围与证据索引</w:t>
      </w:r>
    </w:p>
    <w:p>
      <w:pPr>
        <w:widowControl/>
        <w:spacing w:line="360" w:lineRule="auto" w:before="0" w:after="6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本文汇总2026年9月3日至7日的物流知识实验，仅采用同机、同推理配置的对应模型结果。其他同名 Step120、Qwen3.8 及 API 实验分数不纳入比较。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[1] 模型身份与训练起点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docs/qwen36_step120_logistics_adaptation_decision_20260903.md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[2] 原生与Step120正式基线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docs/qwen36_step120_logistics_stage0_evaluation_20260903.md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[3] 363题四条件诊断协议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docs/step120_qa_diagnostic_20260907.md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[4] 363题复算及8题补证结果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docs/step120_evidence_review_20260907.md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[5] 4个知识点的12问闭卷诊断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docs/step120_closed_knowledge_20260907.md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[6] 直接与改写 CPT 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docs/qwen36_step120_logistics_exam_cpt_direct_vs_rewritten_20260904.md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[7] 答案吸收与上下文依赖补测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docs/logistics_cpt_answer_learning_followup_20260905.md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[8] 书籍 CPT 两遍与四遍对照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docs/qwen36_step120_logistics_cpt_exposure_curve_2x4x_20260904.md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[9] 同题答案SFT最终结果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docs/logistics_mcq_fit_results_20260907.md</w:t>
      </w:r>
    </w:p>
    <w:p>
      <w:pPr>
        <w:pStyle w:val="Heading2"/>
        <w:keepNext/>
        <w:widowControl/>
        <w:spacing w:line="360" w:lineRule="auto" w:before="0" w:after="4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[10] 单书首遍CPT的三轮复测</w:t>
      </w:r>
    </w:p>
    <w:p>
      <w:pPr>
        <w:widowControl/>
        <w:spacing w:line="360" w:lineRule="auto" w:before="0" w:after="40"/>
        <w:ind w:firstLine="600" w:firstLineChars="200"/>
        <w:jc w:val="left"/>
      </w:pPr>
      <w:r>
        <w:rPr>
          <w:rFonts w:ascii="Times New Roman" w:hAnsi="Times New Roman" w:eastAsia="SimSun"/>
          <w:b w:val="0"/>
          <w:sz w:val="30"/>
          <w:color w:val="000000"/>
          <w:spacing w:val="-12"/>
        </w:rPr>
        <w:t>docs/qwen36_step120_logistics_cpt_five_test_diagnosis_20260904.md</w:t>
      </w:r>
    </w:p>
    <w:p>
      <w:pPr>
        <w:widowControl/>
        <w:spacing w:line="360" w:lineRule="auto" w:before="0" w:after="40"/>
        <w:ind w:firstLine="600" w:firstLineChars="200"/>
        <w:jc w:val="left"/>
      </w:pPr>
      <w:r>
        <w:rPr>
          <w:rFonts w:ascii="Times New Roman" w:hAnsi="Times New Roman" w:eastAsia="SimSun"/>
          <w:b w:val="0"/>
          <w:sz w:val="30"/>
          <w:color w:val="000000"/>
        </w:rPr>
        <w:t>主要任务记录  CPT 工程实现-Step120垂域知识首训</w:t>
        <w:br/>
        <w:t>任务标识  01a05bea-47dd-7202-a358-81e8eb40e125</w:t>
      </w:r>
    </w:p>
    <w:p>
      <w:pPr>
        <w:widowControl/>
        <w:spacing w:line="360" w:lineRule="auto" w:before="0" w:after="4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本文保留汇总结果与证据索引，评测题、书籍原文及逐条模型输出另存。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ind w:firstLine="0" w:firstLineChars="0"/>
      <w:jc w:val="right"/>
    </w:pPr>
    <w:r>
      <w:rPr>
        <w:rFonts w:ascii="Times New Roman" w:hAnsi="Times New Roman"/>
        <w:color w:val="000000"/>
        <w:sz w:val="22"/>
      </w:rPr>
      <w:fldSimple w:instr="PAGE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60" w:lineRule="auto"/>
    </w:pPr>
    <w:rPr>
      <w:rFonts w:ascii="Times New Roman" w:hAnsi="Times New Roman" w:eastAsia="SimSun"/>
      <w:b w:val="0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contextualSpacing/>
    </w:pPr>
    <w:rPr>
      <w:rFonts w:asciiTheme="majorHAnsi" w:eastAsiaTheme="majorEastAsia" w:hAnsiTheme="majorHAnsi" w:cstheme="majorBidi" w:ascii="Times New Roman" w:hAnsi="Times New Roman" w:eastAsia="Sim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 w:eastAsia="SimSun"/>
      <w:b w:val="0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Step120物流知识能力诊断与优化实验</dc:title>
  <dc:subject>物流知识评测 CPT 诊断及原始模型对照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