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Step120物流知识能力诊断与优化实验</w:t>
      </w:r>
    </w:p>
    <w:p>
      <w:pPr>
        <w:pStyle w:val="Subtitle"/>
      </w:pPr>
      <w:r>
        <w:t>阶段报告  2026年9月7日</w:t>
      </w:r>
    </w:p>
    <w:p>
      <w:pPr>
        <w:jc w:val="both"/>
      </w:pPr>
      <w:r>
        <w:t>Step120 已完成既有 GRPO 训练，但在物流知识问答上与原生开源模型仍处于相近水平。我们围绕知识储备、知识吸收和问答利用开展了分层探测，并完成评测题语料 CPT 及原始模型对照。现有证据支持知识利用不足是重要问题，但不能排除局部知识范围和概念掌握不完整。</w:t>
      </w:r>
    </w:p>
    <w:p>
      <w:pPr>
        <w:pStyle w:val="Heading1"/>
      </w:pPr>
      <w:r>
        <w:rPr>
          <w:rFonts w:eastAsia="Microsoft YaHei"/>
        </w:rPr>
        <w:t>一 背景与问题</w:t>
      </w:r>
    </w:p>
    <w:p>
      <w:pPr>
        <w:jc w:val="both"/>
      </w:pPr>
      <w:r>
        <w:t>本报告的 Step120 指 2026年8月25日开源数据续训后的模型，实验标识为 llin-step120-opensource-20260825-02。按训练记录，该模型先接受100步垂域轨迹 GRPO，再完成20步开源数据更新；此前训练未专门引入本轮物流书籍知识。[1]</w:t>
      </w:r>
    </w:p>
    <w:p>
      <w:pPr>
        <w:jc w:val="both"/>
      </w:pPr>
      <w:r>
        <w:t>为检查垂域 Agent 训练是否同时带来物流知识收益，我们比较同机、同推理栈的原生 Qwen3.6-27B 与 Step120。结果均在80多分，差距不到半个百分点。[2]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72"/>
        <w:gridCol w:w="1928"/>
        <w:gridCol w:w="1928"/>
        <w:gridCol w:w="1984"/>
      </w:tblGrid>
      <w:tr>
        <w:trPr>
          <w:cantSplit/>
          <w:tblHeader/>
        </w:trPr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E56"/>
            <w:tcMar>
              <w:top w:w="135" w:type="dxa"/>
              <w:bottom w:w="135" w:type="dxa"/>
              <w:left w:w="125" w:type="dxa"/>
              <w:right w:w="125" w:type="dxa"/>
            </w:tcMar>
          </w:tcPr>
          <w:p>
            <w:pPr>
              <w:keepNext/>
              <w:spacing w:after="0" w:line="280" w:lineRule="ex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1"/>
              </w:rPr>
              <w:t>评测范围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E56"/>
            <w:tcMar>
              <w:top w:w="135" w:type="dxa"/>
              <w:bottom w:w="135" w:type="dxa"/>
              <w:left w:w="125" w:type="dxa"/>
              <w:right w:w="12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21"/>
              </w:rPr>
              <w:t>原生模型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E56"/>
            <w:tcMar>
              <w:top w:w="135" w:type="dxa"/>
              <w:bottom w:w="135" w:type="dxa"/>
              <w:left w:w="125" w:type="dxa"/>
              <w:right w:w="12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21"/>
              </w:rPr>
              <w:t>Step120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E56"/>
            <w:tcMar>
              <w:top w:w="135" w:type="dxa"/>
              <w:bottom w:w="135" w:type="dxa"/>
              <w:left w:w="125" w:type="dxa"/>
              <w:right w:w="12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21"/>
              </w:rPr>
              <w:t>变化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135" w:type="dxa"/>
              <w:bottom w:w="135" w:type="dxa"/>
              <w:left w:w="125" w:type="dxa"/>
              <w:right w:w="125" w:type="dxa"/>
            </w:tcMar>
          </w:tcPr>
          <w:p>
            <w:pPr>
              <w:keepNext/>
              <w:spacing w:after="0" w:line="280" w:lineRule="exact"/>
              <w:jc w:val="left"/>
            </w:pPr>
            <w:r>
              <w:rPr>
                <w:rFonts w:ascii="Arial" w:hAnsi="Arial" w:eastAsia="Microsoft YaHei"/>
                <w:b w:val="0"/>
                <w:color w:val="202020"/>
                <w:sz w:val="21"/>
              </w:rPr>
              <w:t>LogistikaBench  1446题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135" w:type="dxa"/>
              <w:bottom w:w="135" w:type="dxa"/>
              <w:left w:w="125" w:type="dxa"/>
              <w:right w:w="12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rFonts w:ascii="Arial" w:hAnsi="Arial" w:eastAsia="Microsoft YaHei"/>
                <w:b w:val="0"/>
                <w:color w:val="202020"/>
                <w:sz w:val="21"/>
              </w:rPr>
              <w:t>81.26%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135" w:type="dxa"/>
              <w:bottom w:w="135" w:type="dxa"/>
              <w:left w:w="125" w:type="dxa"/>
              <w:right w:w="12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rFonts w:ascii="Arial" w:hAnsi="Arial" w:eastAsia="Microsoft YaHei"/>
                <w:b w:val="0"/>
                <w:color w:val="202020"/>
                <w:sz w:val="21"/>
              </w:rPr>
              <w:t>81.60%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135" w:type="dxa"/>
              <w:bottom w:w="135" w:type="dxa"/>
              <w:left w:w="125" w:type="dxa"/>
              <w:right w:w="12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rFonts w:ascii="Arial" w:hAnsi="Arial" w:eastAsia="Microsoft YaHei"/>
                <w:b w:val="0"/>
                <w:color w:val="202020"/>
                <w:sz w:val="21"/>
              </w:rPr>
              <w:t>+0.35点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35" w:type="dxa"/>
              <w:bottom w:w="135" w:type="dxa"/>
              <w:left w:w="125" w:type="dxa"/>
              <w:right w:w="125" w:type="dxa"/>
            </w:tcMar>
          </w:tcPr>
          <w:p>
            <w:pPr>
              <w:keepNext/>
              <w:spacing w:after="0" w:line="280" w:lineRule="exact"/>
              <w:jc w:val="left"/>
            </w:pPr>
            <w:r>
              <w:rPr>
                <w:rFonts w:ascii="Arial" w:hAnsi="Arial" w:eastAsia="Microsoft YaHei"/>
                <w:b w:val="0"/>
                <w:color w:val="202020"/>
                <w:sz w:val="21"/>
              </w:rPr>
              <w:t>SC-bench知识题  226题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35" w:type="dxa"/>
              <w:bottom w:w="135" w:type="dxa"/>
              <w:left w:w="125" w:type="dxa"/>
              <w:right w:w="12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rFonts w:ascii="Arial" w:hAnsi="Arial" w:eastAsia="Microsoft YaHei"/>
                <w:b w:val="0"/>
                <w:color w:val="202020"/>
                <w:sz w:val="21"/>
              </w:rPr>
              <w:t>83.19%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35" w:type="dxa"/>
              <w:bottom w:w="135" w:type="dxa"/>
              <w:left w:w="125" w:type="dxa"/>
              <w:right w:w="12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rFonts w:ascii="Arial" w:hAnsi="Arial" w:eastAsia="Microsoft YaHei"/>
                <w:b w:val="0"/>
                <w:color w:val="202020"/>
                <w:sz w:val="21"/>
              </w:rPr>
              <w:t>83.63%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35" w:type="dxa"/>
              <w:bottom w:w="135" w:type="dxa"/>
              <w:left w:w="125" w:type="dxa"/>
              <w:right w:w="12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rFonts w:ascii="Arial" w:hAnsi="Arial" w:eastAsia="Microsoft YaHei"/>
                <w:b w:val="0"/>
                <w:color w:val="202020"/>
                <w:sz w:val="21"/>
              </w:rPr>
              <w:t>+0.44点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135" w:type="dxa"/>
              <w:bottom w:w="135" w:type="dxa"/>
              <w:left w:w="125" w:type="dxa"/>
              <w:right w:w="125" w:type="dxa"/>
            </w:tcMar>
          </w:tcPr>
          <w:p>
            <w:pPr>
              <w:keepNext w:val="0"/>
              <w:spacing w:after="0" w:line="280" w:lineRule="exact"/>
              <w:jc w:val="left"/>
            </w:pPr>
            <w:r>
              <w:rPr>
                <w:rFonts w:ascii="Arial" w:hAnsi="Arial" w:eastAsia="Microsoft YaHei"/>
                <w:b/>
                <w:color w:val="202020"/>
                <w:sz w:val="21"/>
              </w:rPr>
              <w:t>合计  1672题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135" w:type="dxa"/>
              <w:bottom w:w="135" w:type="dxa"/>
              <w:left w:w="125" w:type="dxa"/>
              <w:right w:w="125" w:type="dxa"/>
            </w:tcMar>
          </w:tcPr>
          <w:p>
            <w:pPr>
              <w:keepNext w:val="0"/>
              <w:spacing w:after="0" w:line="280" w:lineRule="exact"/>
              <w:jc w:val="center"/>
            </w:pPr>
            <w:r>
              <w:rPr>
                <w:rFonts w:ascii="Arial" w:hAnsi="Arial" w:eastAsia="Microsoft YaHei"/>
                <w:b/>
                <w:color w:val="202020"/>
                <w:sz w:val="21"/>
              </w:rPr>
              <w:t>81.52%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135" w:type="dxa"/>
              <w:bottom w:w="135" w:type="dxa"/>
              <w:left w:w="125" w:type="dxa"/>
              <w:right w:w="125" w:type="dxa"/>
            </w:tcMar>
          </w:tcPr>
          <w:p>
            <w:pPr>
              <w:keepNext w:val="0"/>
              <w:spacing w:after="0" w:line="280" w:lineRule="exact"/>
              <w:jc w:val="center"/>
            </w:pPr>
            <w:r>
              <w:rPr>
                <w:rFonts w:ascii="Arial" w:hAnsi="Arial" w:eastAsia="Microsoft YaHei"/>
                <w:b/>
                <w:color w:val="202020"/>
                <w:sz w:val="21"/>
              </w:rPr>
              <w:t>81.88%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135" w:type="dxa"/>
              <w:bottom w:w="135" w:type="dxa"/>
              <w:left w:w="125" w:type="dxa"/>
              <w:right w:w="125" w:type="dxa"/>
            </w:tcMar>
          </w:tcPr>
          <w:p>
            <w:pPr>
              <w:keepNext w:val="0"/>
              <w:spacing w:after="0" w:line="280" w:lineRule="exact"/>
              <w:jc w:val="center"/>
            </w:pPr>
            <w:r>
              <w:rPr>
                <w:rFonts w:ascii="Arial" w:hAnsi="Arial" w:eastAsia="Microsoft YaHei"/>
                <w:b/>
                <w:color w:val="202020"/>
                <w:sz w:val="21"/>
              </w:rPr>
              <w:t>+0.36点</w:t>
            </w:r>
          </w:p>
        </w:tc>
      </w:tr>
    </w:tbl>
    <w:p>
      <w:pPr>
        <w:spacing w:line="280" w:lineRule="exact" w:before="140"/>
        <w:jc w:val="both"/>
      </w:pPr>
      <w:r>
        <w:rPr>
          <w:color w:val="595959"/>
          <w:sz w:val="18"/>
        </w:rPr>
        <w:t>注：变化按未四舍五入的原始分数计算，单位为百分点。SC-bench 的100道工具题不在本表内。主比较采用相同 BF16 精度、温度0、关闭 thinking 和严格答案集合评分。</w:t>
      </w:r>
    </w:p>
    <w:p>
      <w:pPr>
        <w:pStyle w:val="Heading2"/>
      </w:pPr>
      <w:r>
        <w:rPr>
          <w:rFonts w:eastAsia="Microsoft YaHei"/>
        </w:rPr>
        <w:t>问题判断</w:t>
      </w:r>
    </w:p>
    <w:p>
      <w:pPr>
        <w:jc w:val="both"/>
      </w:pPr>
      <w:r>
        <w:t>这一结果说明，既有训练尚未形成明显的物流知识问答增益，垂域 Agent 优化没有自动转化为同等幅度的知识问答优势。Step120 共答对1369题，仍有303题答错；但仅凭总分不能判断这些错误究竟来自知识缺口、概念调用、情景应用，还是输入与评分问题。</w:t>
      </w:r>
    </w:p>
    <w:p>
      <w:pPr>
        <w:jc w:val="both"/>
      </w:pPr>
      <w:r>
        <w:t>本轮主比较净增6题，低于项目此前设定的物流知识提升3个百分点的实用门槛。以下实验用于拆解差距，不把“80多分”直接等同于“缺知识”。</w:t>
      </w:r>
    </w:p>
    <w:p>
      <w:pPr>
        <w:spacing w:after="0" w:line="240" w:lineRule="exact"/>
        <w:jc w:val="both"/>
      </w:pPr>
      <w:r>
        <w:br w:type="page"/>
      </w:r>
    </w:p>
    <w:p>
      <w:pPr>
        <w:pStyle w:val="Heading1"/>
      </w:pPr>
      <w:r>
        <w:rPr>
          <w:rFonts w:eastAsia="Microsoft YaHei"/>
        </w:rPr>
        <w:t>二 探测方法与已完成结果</w:t>
      </w:r>
    </w:p>
    <w:p>
      <w:pPr>
        <w:jc w:val="both"/>
      </w:pPr>
      <w:r>
        <w:t>探测按“评测是否可靠 → 资料是否充分 → 基础知识能否调用 → 原问题能否应用 → 训练信号是否转成答案”逐层展开。各层分别设置对照，避免只看总分或训练 loss 就判定根因。</w:t>
      </w:r>
    </w:p>
    <w:p>
      <w:pPr>
        <w:pStyle w:val="Heading2"/>
      </w:pPr>
      <w:r>
        <w:rPr>
          <w:rFonts w:eastAsia="Microsoft YaHei"/>
        </w:rPr>
        <w:t>1 固定错题和正确对照做四条件探测</w:t>
      </w:r>
    </w:p>
    <w:p>
      <w:pPr>
        <w:jc w:val="both"/>
      </w:pPr>
      <w:r>
        <w:t>冻结 Step120 的303道历史错题，再匹配60道原答对题，共363题。原始模型分别回答原题闭卷、原题加教材、基础知识题闭卷、基础知识题加教材，每个条件重复3轮。教材检索不接收金答案，基础题仅在自动门禁通过的子集评测。[3]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2154"/>
        <w:gridCol w:w="2154"/>
      </w:tblGrid>
      <w:tr>
        <w:trPr>
          <w:cantSplit/>
          <w:tblHeader/>
        </w:trPr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E56"/>
            <w:tcMar>
              <w:top w:w="135" w:type="dxa"/>
              <w:bottom w:w="135" w:type="dxa"/>
              <w:left w:w="125" w:type="dxa"/>
              <w:right w:w="125" w:type="dxa"/>
            </w:tcMar>
          </w:tcPr>
          <w:p>
            <w:pPr>
              <w:keepNext/>
              <w:spacing w:after="0" w:line="280" w:lineRule="ex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1"/>
              </w:rPr>
              <w:t>样本与条件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E56"/>
            <w:tcMar>
              <w:top w:w="135" w:type="dxa"/>
              <w:bottom w:w="135" w:type="dxa"/>
              <w:left w:w="125" w:type="dxa"/>
              <w:right w:w="12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21"/>
              </w:rPr>
              <w:t>闭卷答对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E56"/>
            <w:tcMar>
              <w:top w:w="135" w:type="dxa"/>
              <w:bottom w:w="135" w:type="dxa"/>
              <w:left w:w="125" w:type="dxa"/>
              <w:right w:w="12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21"/>
              </w:rPr>
              <w:t>加教材答对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135" w:type="dxa"/>
              <w:bottom w:w="135" w:type="dxa"/>
              <w:left w:w="125" w:type="dxa"/>
              <w:right w:w="125" w:type="dxa"/>
            </w:tcMar>
          </w:tcPr>
          <w:p>
            <w:pPr>
              <w:keepNext/>
              <w:spacing w:after="0" w:line="280" w:lineRule="exact"/>
              <w:jc w:val="left"/>
            </w:pPr>
            <w:r>
              <w:rPr>
                <w:rFonts w:ascii="Arial" w:hAnsi="Arial" w:eastAsia="Microsoft YaHei"/>
                <w:b w:val="0"/>
                <w:color w:val="202020"/>
                <w:sz w:val="21"/>
              </w:rPr>
              <w:t>历史错题  303题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135" w:type="dxa"/>
              <w:bottom w:w="135" w:type="dxa"/>
              <w:left w:w="125" w:type="dxa"/>
              <w:right w:w="12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rFonts w:ascii="Arial" w:hAnsi="Arial" w:eastAsia="Microsoft YaHei"/>
                <w:b w:val="0"/>
                <w:color w:val="202020"/>
                <w:sz w:val="21"/>
              </w:rPr>
              <w:t>6/303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135" w:type="dxa"/>
              <w:bottom w:w="135" w:type="dxa"/>
              <w:left w:w="125" w:type="dxa"/>
              <w:right w:w="12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rFonts w:ascii="Arial" w:hAnsi="Arial" w:eastAsia="Microsoft YaHei"/>
                <w:b w:val="0"/>
                <w:color w:val="202020"/>
                <w:sz w:val="21"/>
              </w:rPr>
              <w:t>58/303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35" w:type="dxa"/>
              <w:bottom w:w="135" w:type="dxa"/>
              <w:left w:w="125" w:type="dxa"/>
              <w:right w:w="125" w:type="dxa"/>
            </w:tcMar>
          </w:tcPr>
          <w:p>
            <w:pPr>
              <w:keepNext/>
              <w:spacing w:after="0" w:line="280" w:lineRule="exact"/>
              <w:jc w:val="left"/>
            </w:pPr>
            <w:r>
              <w:rPr>
                <w:rFonts w:ascii="Arial" w:hAnsi="Arial" w:eastAsia="Microsoft YaHei"/>
                <w:b w:val="0"/>
                <w:color w:val="202020"/>
                <w:sz w:val="21"/>
              </w:rPr>
              <w:t>原答对对照  60题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35" w:type="dxa"/>
              <w:bottom w:w="135" w:type="dxa"/>
              <w:left w:w="125" w:type="dxa"/>
              <w:right w:w="12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rFonts w:ascii="Arial" w:hAnsi="Arial" w:eastAsia="Microsoft YaHei"/>
                <w:b w:val="0"/>
                <w:color w:val="202020"/>
                <w:sz w:val="21"/>
              </w:rPr>
              <w:t>57/60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35" w:type="dxa"/>
              <w:bottom w:w="135" w:type="dxa"/>
              <w:left w:w="125" w:type="dxa"/>
              <w:right w:w="12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rFonts w:ascii="Arial" w:hAnsi="Arial" w:eastAsia="Microsoft YaHei"/>
                <w:b w:val="0"/>
                <w:color w:val="202020"/>
                <w:sz w:val="21"/>
              </w:rPr>
              <w:t>54/60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135" w:type="dxa"/>
              <w:bottom w:w="135" w:type="dxa"/>
              <w:left w:w="125" w:type="dxa"/>
              <w:right w:w="125" w:type="dxa"/>
            </w:tcMar>
          </w:tcPr>
          <w:p>
            <w:pPr>
              <w:keepNext w:val="0"/>
              <w:spacing w:after="0" w:line="280" w:lineRule="exact"/>
              <w:jc w:val="left"/>
            </w:pPr>
            <w:r>
              <w:rPr>
                <w:rFonts w:ascii="Arial" w:hAnsi="Arial" w:eastAsia="Microsoft YaHei"/>
                <w:b w:val="0"/>
                <w:color w:val="202020"/>
                <w:sz w:val="21"/>
              </w:rPr>
              <w:t>历史错题中的有效基础题  65题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135" w:type="dxa"/>
              <w:bottom w:w="135" w:type="dxa"/>
              <w:left w:w="125" w:type="dxa"/>
              <w:right w:w="125" w:type="dxa"/>
            </w:tcMar>
          </w:tcPr>
          <w:p>
            <w:pPr>
              <w:keepNext w:val="0"/>
              <w:spacing w:after="0" w:line="280" w:lineRule="exact"/>
              <w:jc w:val="center"/>
            </w:pPr>
            <w:r>
              <w:rPr>
                <w:rFonts w:ascii="Arial" w:hAnsi="Arial" w:eastAsia="Microsoft YaHei"/>
                <w:b w:val="0"/>
                <w:color w:val="202020"/>
                <w:sz w:val="21"/>
              </w:rPr>
              <w:t>59/65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135" w:type="dxa"/>
              <w:bottom w:w="135" w:type="dxa"/>
              <w:left w:w="125" w:type="dxa"/>
              <w:right w:w="125" w:type="dxa"/>
            </w:tcMar>
          </w:tcPr>
          <w:p>
            <w:pPr>
              <w:keepNext w:val="0"/>
              <w:spacing w:after="0" w:line="280" w:lineRule="exact"/>
              <w:jc w:val="center"/>
            </w:pPr>
            <w:r>
              <w:rPr>
                <w:rFonts w:ascii="Arial" w:hAnsi="Arial" w:eastAsia="Microsoft YaHei"/>
                <w:b w:val="0"/>
                <w:color w:val="202020"/>
                <w:sz w:val="21"/>
              </w:rPr>
              <w:t>64/65</w:t>
            </w:r>
          </w:p>
        </w:tc>
      </w:tr>
    </w:tbl>
    <w:p>
      <w:pPr>
        <w:spacing w:before="140"/>
        <w:jc w:val="both"/>
      </w:pPr>
      <w:r>
        <w:t>诊断提示与历史正式评测不同，因此303道历史错题本轮闭卷答对6题并不矛盾。资料能帮助部分题目，也可能干扰原答对题；基础题的分母和难度均不同，不能直接与303题正确率相减。</w:t>
      </w:r>
    </w:p>
    <w:p>
      <w:pPr>
        <w:pStyle w:val="Heading2"/>
      </w:pPr>
      <w:r>
        <w:rPr>
          <w:rFonts w:eastAsia="Microsoft YaHei"/>
        </w:rPr>
        <w:t>2 复核资料质量并增加闭卷知识探针</w:t>
      </w:r>
    </w:p>
    <w:p>
      <w:pPr>
        <w:jc w:val="both"/>
      </w:pPr>
      <w:r>
        <w:t>363题中259题自动审核缺失或无效，不能据此判为教材不覆盖。后续复核8题，发现探针过浅、资料不充分、缺图、重复选项等问题。在获得定向补证的同4题上，闭卷及原教材均为0/4，补充已核对资料后为4/4，三轮一致；单加题型提示在8题上仍为0/8。[4]</w:t>
      </w:r>
    </w:p>
    <w:p>
      <w:pPr>
        <w:jc w:val="both"/>
      </w:pPr>
      <w:r>
        <w:t>对上述4个知识点再做定义、辨析、应用各1问，共12问、每问3轮。预先冻结的核心标准通过6/12，其中定义2/4、辨析3/4、应用1/4。这表明部分知识可以调用，但概念范围、术语对应和情景应用并不稳定。[5]</w:t>
      </w:r>
    </w:p>
    <w:p>
      <w:pPr>
        <w:pStyle w:val="Heading2"/>
      </w:pPr>
      <w:r>
        <w:rPr>
          <w:rFonts w:eastAsia="Microsoft YaHei"/>
        </w:rPr>
        <w:t>3 由探测结果确定优化方向</w:t>
      </w:r>
    </w:p>
    <w:p>
      <w:pPr>
        <w:jc w:val="both"/>
      </w:pPr>
      <w:r>
        <w:t>知识范围不完整的题目，应补充可靠来源与知识校准；定义可答、应用不稳的题目，应重点训练概念辨析和情景问答；资料或题面存在问题的样本，应先修复评测依据。上述小样本属于机制探测，不能外推为全部303题的根因比例。</w:t>
      </w:r>
    </w:p>
    <w:p>
      <w:pPr>
        <w:spacing w:after="0" w:line="240" w:lineRule="exact"/>
        <w:jc w:val="both"/>
      </w:pPr>
      <w:r>
        <w:br w:type="page"/>
      </w:r>
    </w:p>
    <w:p>
      <w:pPr>
        <w:pStyle w:val="Heading1"/>
      </w:pPr>
      <w:r>
        <w:rPr>
          <w:rFonts w:eastAsia="Microsoft YaHei"/>
        </w:rPr>
        <w:t>三 方案一 评测基准转语料开展CPT</w:t>
      </w:r>
    </w:p>
    <w:p>
      <w:pPr>
        <w:pStyle w:val="Heading2"/>
      </w:pPr>
      <w:r>
        <w:rPr>
          <w:rFonts w:eastAsia="Microsoft YaHei"/>
        </w:rPr>
        <w:t>目的与设计</w:t>
      </w:r>
    </w:p>
    <w:p>
      <w:pPr>
        <w:jc w:val="both"/>
      </w:pPr>
      <w:r>
        <w:t>为检验“把所需知识显式加入训练，是否就能提高得分”，我们将1672道评测题转成普通因果语言建模语料，并设置直接题面与改写题面两组。两组均从同一 Step120 权重独立初始化新优化器，各训练4遍、64步，再用冻结原题做三轮多数票评测。[6]</w:t>
      </w:r>
    </w:p>
    <w:p>
      <w:pPr>
        <w:jc w:val="both"/>
      </w:pPr>
      <w:r>
        <w:t>直接组保留题干和正确答案正文，去除选项字母、索引及干扰项；改写组改写题干、保留正确答案。1625题通过自动改写门禁，47题回退到原题。历史判断题保留原命题并追加真假结论，并未全部转成纠正后的正向知识陈述，这是该次制数的限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72"/>
        <w:gridCol w:w="1984"/>
        <w:gridCol w:w="1928"/>
        <w:gridCol w:w="1928"/>
      </w:tblGrid>
      <w:tr>
        <w:trPr>
          <w:cantSplit/>
          <w:tblHeader/>
        </w:trPr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E56"/>
            <w:tcMar>
              <w:top w:w="135" w:type="dxa"/>
              <w:bottom w:w="135" w:type="dxa"/>
              <w:left w:w="125" w:type="dxa"/>
              <w:right w:w="125" w:type="dxa"/>
            </w:tcMar>
          </w:tcPr>
          <w:p>
            <w:pPr>
              <w:keepNext/>
              <w:spacing w:after="0" w:line="280" w:lineRule="ex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1"/>
              </w:rPr>
              <w:t>模型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E56"/>
            <w:tcMar>
              <w:top w:w="135" w:type="dxa"/>
              <w:bottom w:w="135" w:type="dxa"/>
              <w:left w:w="125" w:type="dxa"/>
              <w:right w:w="12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21"/>
              </w:rPr>
              <w:t>答对数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E56"/>
            <w:tcMar>
              <w:top w:w="135" w:type="dxa"/>
              <w:bottom w:w="135" w:type="dxa"/>
              <w:left w:w="125" w:type="dxa"/>
              <w:right w:w="12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21"/>
              </w:rPr>
              <w:t>准确率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E56"/>
            <w:tcMar>
              <w:top w:w="135" w:type="dxa"/>
              <w:bottom w:w="135" w:type="dxa"/>
              <w:left w:w="125" w:type="dxa"/>
              <w:right w:w="12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21"/>
              </w:rPr>
              <w:t>相对Step120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135" w:type="dxa"/>
              <w:bottom w:w="135" w:type="dxa"/>
              <w:left w:w="125" w:type="dxa"/>
              <w:right w:w="125" w:type="dxa"/>
            </w:tcMar>
          </w:tcPr>
          <w:p>
            <w:pPr>
              <w:keepNext/>
              <w:spacing w:after="0" w:line="280" w:lineRule="exact"/>
              <w:jc w:val="left"/>
            </w:pPr>
            <w:r>
              <w:rPr>
                <w:rFonts w:ascii="Arial" w:hAnsi="Arial" w:eastAsia="Microsoft YaHei"/>
                <w:b w:val="0"/>
                <w:color w:val="202020"/>
                <w:sz w:val="21"/>
              </w:rPr>
              <w:t>原始Step120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135" w:type="dxa"/>
              <w:bottom w:w="135" w:type="dxa"/>
              <w:left w:w="125" w:type="dxa"/>
              <w:right w:w="12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rFonts w:ascii="Arial" w:hAnsi="Arial" w:eastAsia="Microsoft YaHei"/>
                <w:b w:val="0"/>
                <w:color w:val="202020"/>
                <w:sz w:val="21"/>
              </w:rPr>
              <w:t>1369/1672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135" w:type="dxa"/>
              <w:bottom w:w="135" w:type="dxa"/>
              <w:left w:w="125" w:type="dxa"/>
              <w:right w:w="12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rFonts w:ascii="Arial" w:hAnsi="Arial" w:eastAsia="Microsoft YaHei"/>
                <w:b w:val="0"/>
                <w:color w:val="202020"/>
                <w:sz w:val="21"/>
              </w:rPr>
              <w:t>81.878%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135" w:type="dxa"/>
              <w:bottom w:w="135" w:type="dxa"/>
              <w:left w:w="125" w:type="dxa"/>
              <w:right w:w="12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rFonts w:ascii="Arial" w:hAnsi="Arial" w:eastAsia="Microsoft YaHei"/>
                <w:b w:val="0"/>
                <w:color w:val="20202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35" w:type="dxa"/>
              <w:bottom w:w="135" w:type="dxa"/>
              <w:left w:w="125" w:type="dxa"/>
              <w:right w:w="125" w:type="dxa"/>
            </w:tcMar>
          </w:tcPr>
          <w:p>
            <w:pPr>
              <w:keepNext/>
              <w:spacing w:after="0" w:line="280" w:lineRule="exact"/>
              <w:jc w:val="left"/>
            </w:pPr>
            <w:r>
              <w:rPr>
                <w:rFonts w:ascii="Arial" w:hAnsi="Arial" w:eastAsia="Microsoft YaHei"/>
                <w:b w:val="0"/>
                <w:color w:val="202020"/>
                <w:sz w:val="21"/>
              </w:rPr>
              <w:t>直接题面CPT  4遍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35" w:type="dxa"/>
              <w:bottom w:w="135" w:type="dxa"/>
              <w:left w:w="125" w:type="dxa"/>
              <w:right w:w="12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rFonts w:ascii="Arial" w:hAnsi="Arial" w:eastAsia="Microsoft YaHei"/>
                <w:b w:val="0"/>
                <w:color w:val="202020"/>
                <w:sz w:val="21"/>
              </w:rPr>
              <w:t>1381/1672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35" w:type="dxa"/>
              <w:bottom w:w="135" w:type="dxa"/>
              <w:left w:w="125" w:type="dxa"/>
              <w:right w:w="12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rFonts w:ascii="Arial" w:hAnsi="Arial" w:eastAsia="Microsoft YaHei"/>
                <w:b w:val="0"/>
                <w:color w:val="202020"/>
                <w:sz w:val="21"/>
              </w:rPr>
              <w:t>82.596%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35" w:type="dxa"/>
              <w:bottom w:w="135" w:type="dxa"/>
              <w:left w:w="125" w:type="dxa"/>
              <w:right w:w="12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rFonts w:ascii="Arial" w:hAnsi="Arial" w:eastAsia="Microsoft YaHei"/>
                <w:b w:val="0"/>
                <w:color w:val="202020"/>
                <w:sz w:val="21"/>
              </w:rPr>
              <w:t>+0.7177点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135" w:type="dxa"/>
              <w:bottom w:w="135" w:type="dxa"/>
              <w:left w:w="125" w:type="dxa"/>
              <w:right w:w="125" w:type="dxa"/>
            </w:tcMar>
          </w:tcPr>
          <w:p>
            <w:pPr>
              <w:keepNext w:val="0"/>
              <w:spacing w:after="0" w:line="280" w:lineRule="exact"/>
              <w:jc w:val="left"/>
            </w:pPr>
            <w:r>
              <w:rPr>
                <w:rFonts w:ascii="Arial" w:hAnsi="Arial" w:eastAsia="Microsoft YaHei"/>
                <w:b w:val="0"/>
                <w:color w:val="202020"/>
                <w:sz w:val="21"/>
              </w:rPr>
              <w:t>改写题面CPT  4遍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135" w:type="dxa"/>
              <w:bottom w:w="135" w:type="dxa"/>
              <w:left w:w="125" w:type="dxa"/>
              <w:right w:w="125" w:type="dxa"/>
            </w:tcMar>
          </w:tcPr>
          <w:p>
            <w:pPr>
              <w:keepNext w:val="0"/>
              <w:spacing w:after="0" w:line="280" w:lineRule="exact"/>
              <w:jc w:val="center"/>
            </w:pPr>
            <w:r>
              <w:rPr>
                <w:rFonts w:ascii="Arial" w:hAnsi="Arial" w:eastAsia="Microsoft YaHei"/>
                <w:b w:val="0"/>
                <w:color w:val="202020"/>
                <w:sz w:val="21"/>
              </w:rPr>
              <w:t>1373/1672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135" w:type="dxa"/>
              <w:bottom w:w="135" w:type="dxa"/>
              <w:left w:w="125" w:type="dxa"/>
              <w:right w:w="125" w:type="dxa"/>
            </w:tcMar>
          </w:tcPr>
          <w:p>
            <w:pPr>
              <w:keepNext w:val="0"/>
              <w:spacing w:after="0" w:line="280" w:lineRule="exact"/>
              <w:jc w:val="center"/>
            </w:pPr>
            <w:r>
              <w:rPr>
                <w:rFonts w:ascii="Arial" w:hAnsi="Arial" w:eastAsia="Microsoft YaHei"/>
                <w:b w:val="0"/>
                <w:color w:val="202020"/>
                <w:sz w:val="21"/>
              </w:rPr>
              <w:t>82.117%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135" w:type="dxa"/>
              <w:bottom w:w="135" w:type="dxa"/>
              <w:left w:w="125" w:type="dxa"/>
              <w:right w:w="125" w:type="dxa"/>
            </w:tcMar>
          </w:tcPr>
          <w:p>
            <w:pPr>
              <w:keepNext w:val="0"/>
              <w:spacing w:after="0" w:line="280" w:lineRule="exact"/>
              <w:jc w:val="center"/>
            </w:pPr>
            <w:r>
              <w:rPr>
                <w:rFonts w:ascii="Arial" w:hAnsi="Arial" w:eastAsia="Microsoft YaHei"/>
                <w:b w:val="0"/>
                <w:color w:val="202020"/>
                <w:sz w:val="21"/>
              </w:rPr>
              <w:t>+0.2392点</w:t>
            </w:r>
          </w:p>
        </w:tc>
      </w:tr>
    </w:tbl>
    <w:p>
      <w:pPr>
        <w:spacing w:before="140"/>
        <w:jc w:val="both"/>
      </w:pPr>
      <w:r>
        <w:t>直接组21题改对、9题改错，净增12题；改写组10题改对、6题改错，净增4题。直接组的未校正配对检验 p=0.0428，改写组 p=0.4545。准确表述是“有小幅提升，但实用增益有限”，不能笼统写成两组均统计不显著。</w:t>
      </w:r>
    </w:p>
    <w:p>
      <w:pPr>
        <w:pStyle w:val="Heading2"/>
      </w:pPr>
      <w:r>
        <w:rPr>
          <w:rFonts w:eastAsia="Microsoft YaHei"/>
        </w:rPr>
        <w:t>训练发生了 为什么得分变化仍小</w:t>
      </w:r>
    </w:p>
    <w:p>
      <w:pPr>
        <w:jc w:val="both"/>
      </w:pPr>
      <w:r>
        <w:t>直接组第1至第4遍平均 loss 从3.8054降至2.1378，改写组从3.4648降至2.1423；训练和权重导出均通过校验。进一步只测答案位置，直接 CPT 在原训练块中的答案 NLL 从4.7873降到2.4873，但独立题面仅从2.8990降到2.6632，改善明显依赖上下文。[7]</w:t>
      </w:r>
    </w:p>
    <w:p>
      <w:pPr>
        <w:jc w:val="both"/>
      </w:pPr>
      <w:r>
        <w:rPr>
          <w:sz w:val="21"/>
        </w:rPr>
        <w:t>书籍原文 CPT 的独立对照也呈现类似现象：增加至4遍后，书内 NLL 相对改善4.126%，但200道书内改写知识题仍为189/200；公开题三轮多数票仅从1369增至1371，提升0.1196个百分点。[8]</w:t>
      </w:r>
    </w:p>
    <w:p>
      <w:pPr>
        <w:pStyle w:val="Heading2"/>
      </w:pPr>
      <w:r>
        <w:rPr>
          <w:rFonts w:eastAsia="Microsoft YaHei"/>
        </w:rPr>
        <w:t>阶段结论</w:t>
      </w:r>
    </w:p>
    <w:p>
      <w:pPr>
        <w:jc w:val="both"/>
      </w:pPr>
      <w:r>
        <w:t>文本预测能力的改善没有充分转化为问答得分，支持进一步检查知识吸收方式、答案监督位置和实际调用过程。不过，小幅增益既可能包含写入不足，也可能包含利用不足；结合闭卷探针，不宜下“知识无缺失”的确定结论。更准确的表述是：模型已有较多领域知识，但知识边界与应用仍不稳定。</w:t>
      </w:r>
    </w:p>
    <w:p>
      <w:pPr>
        <w:jc w:val="both"/>
      </w:pPr>
      <w:r>
        <w:t>本方案训练接触了评测题及答案，结果仅用于受控同题诊断，不能作为独立泛化成绩或交付能力证明。</w:t>
      </w:r>
    </w:p>
    <w:p>
      <w:pPr>
        <w:spacing w:after="0" w:line="240" w:lineRule="exact"/>
        <w:jc w:val="both"/>
      </w:pPr>
      <w:r>
        <w:br w:type="page"/>
      </w:r>
    </w:p>
    <w:p>
      <w:pPr>
        <w:pStyle w:val="Heading1"/>
      </w:pPr>
      <w:r>
        <w:rPr>
          <w:rFonts w:eastAsia="Microsoft YaHei"/>
        </w:rPr>
        <w:t>四 方案二 书籍转问答对进行SFT</w:t>
      </w:r>
    </w:p>
    <w:p>
      <w:pPr>
        <w:jc w:val="both"/>
      </w:pPr>
      <w:r>
        <w:rPr>
          <w:color w:val="666666"/>
        </w:rPr>
        <w:t>尚未开展训练  本节预留</w:t>
      </w:r>
    </w:p>
    <w:p>
      <w:pPr>
        <w:spacing w:after="0" w:line="240" w:lineRule="exact"/>
        <w:jc w:val="both"/>
      </w:pPr>
    </w:p>
    <w:p>
      <w:pPr>
        <w:spacing w:after="0" w:line="240" w:lineRule="exact"/>
        <w:jc w:val="both"/>
      </w:pPr>
    </w:p>
    <w:p>
      <w:pPr>
        <w:spacing w:after="0" w:line="240" w:lineRule="exact"/>
        <w:jc w:val="both"/>
      </w:pPr>
    </w:p>
    <w:p>
      <w:pPr>
        <w:pStyle w:val="Heading1"/>
      </w:pPr>
      <w:r>
        <w:rPr>
          <w:rFonts w:eastAsia="Microsoft YaHei"/>
        </w:rPr>
        <w:t>五 方案三 原始模型对照</w:t>
      </w:r>
    </w:p>
    <w:p>
      <w:pPr>
        <w:jc w:val="both"/>
      </w:pPr>
      <w:r>
        <w:t>本方案保留未接受本轮 CPT 或 SFT 的原始 Step120，作为全部后续实验的共同起点。这里“原始”指8月25日完成开源数据续训的 Step120，并非完全未经后训练的原生开源模型；原生模型另列为背景参考。[1][2]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8"/>
        <w:gridCol w:w="1984"/>
        <w:gridCol w:w="1984"/>
        <w:gridCol w:w="1984"/>
      </w:tblGrid>
      <w:tr>
        <w:trPr>
          <w:cantSplit/>
          <w:tblHeader/>
        </w:trPr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E56"/>
            <w:tcMar>
              <w:top w:w="135" w:type="dxa"/>
              <w:bottom w:w="135" w:type="dxa"/>
              <w:left w:w="125" w:type="dxa"/>
              <w:right w:w="125" w:type="dxa"/>
            </w:tcMar>
          </w:tcPr>
          <w:p>
            <w:pPr>
              <w:keepNext/>
              <w:spacing w:after="0" w:line="280" w:lineRule="exact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21"/>
              </w:rPr>
              <w:t>对照对象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E56"/>
            <w:tcMar>
              <w:top w:w="135" w:type="dxa"/>
              <w:bottom w:w="135" w:type="dxa"/>
              <w:left w:w="125" w:type="dxa"/>
              <w:right w:w="12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21"/>
              </w:rPr>
              <w:t>LogistikaBench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E56"/>
            <w:tcMar>
              <w:top w:w="135" w:type="dxa"/>
              <w:bottom w:w="135" w:type="dxa"/>
              <w:left w:w="125" w:type="dxa"/>
              <w:right w:w="12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21"/>
              </w:rPr>
              <w:t>SC-bench知识题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E56"/>
            <w:tcMar>
              <w:top w:w="135" w:type="dxa"/>
              <w:bottom w:w="135" w:type="dxa"/>
              <w:left w:w="125" w:type="dxa"/>
              <w:right w:w="12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21"/>
              </w:rPr>
              <w:t>总体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135" w:type="dxa"/>
              <w:bottom w:w="135" w:type="dxa"/>
              <w:left w:w="125" w:type="dxa"/>
              <w:right w:w="125" w:type="dxa"/>
            </w:tcMar>
          </w:tcPr>
          <w:p>
            <w:pPr>
              <w:keepNext/>
              <w:spacing w:after="0" w:line="280" w:lineRule="exact"/>
              <w:jc w:val="left"/>
            </w:pPr>
            <w:r>
              <w:rPr>
                <w:rFonts w:ascii="Arial" w:hAnsi="Arial" w:eastAsia="Microsoft YaHei"/>
                <w:b w:val="0"/>
                <w:color w:val="202020"/>
                <w:sz w:val="21"/>
              </w:rPr>
              <w:t>原生Qwen3.6-27B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135" w:type="dxa"/>
              <w:bottom w:w="135" w:type="dxa"/>
              <w:left w:w="125" w:type="dxa"/>
              <w:right w:w="12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rFonts w:ascii="Arial" w:hAnsi="Arial" w:eastAsia="Microsoft YaHei"/>
                <w:b w:val="0"/>
                <w:color w:val="202020"/>
                <w:sz w:val="21"/>
              </w:rPr>
              <w:t>1175/1446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135" w:type="dxa"/>
              <w:bottom w:w="135" w:type="dxa"/>
              <w:left w:w="125" w:type="dxa"/>
              <w:right w:w="12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rFonts w:ascii="Arial" w:hAnsi="Arial" w:eastAsia="Microsoft YaHei"/>
                <w:b w:val="0"/>
                <w:color w:val="202020"/>
                <w:sz w:val="21"/>
              </w:rPr>
              <w:t>188/226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7"/>
            <w:tcMar>
              <w:top w:w="135" w:type="dxa"/>
              <w:bottom w:w="135" w:type="dxa"/>
              <w:left w:w="125" w:type="dxa"/>
              <w:right w:w="12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rFonts w:ascii="Arial" w:hAnsi="Arial" w:eastAsia="Microsoft YaHei"/>
                <w:b w:val="0"/>
                <w:color w:val="202020"/>
                <w:sz w:val="21"/>
              </w:rPr>
              <w:t>1363/1672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35" w:type="dxa"/>
              <w:bottom w:w="135" w:type="dxa"/>
              <w:left w:w="125" w:type="dxa"/>
              <w:right w:w="125" w:type="dxa"/>
            </w:tcMar>
          </w:tcPr>
          <w:p>
            <w:pPr>
              <w:keepNext w:val="0"/>
              <w:spacing w:after="0" w:line="280" w:lineRule="exact"/>
              <w:jc w:val="left"/>
            </w:pPr>
            <w:r>
              <w:rPr>
                <w:rFonts w:ascii="Arial" w:hAnsi="Arial" w:eastAsia="Microsoft YaHei"/>
                <w:b w:val="0"/>
                <w:color w:val="202020"/>
                <w:sz w:val="21"/>
              </w:rPr>
              <w:t>原始Step120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35" w:type="dxa"/>
              <w:bottom w:w="135" w:type="dxa"/>
              <w:left w:w="125" w:type="dxa"/>
              <w:right w:w="125" w:type="dxa"/>
            </w:tcMar>
          </w:tcPr>
          <w:p>
            <w:pPr>
              <w:keepNext w:val="0"/>
              <w:spacing w:after="0" w:line="280" w:lineRule="exact"/>
              <w:jc w:val="center"/>
            </w:pPr>
            <w:r>
              <w:rPr>
                <w:rFonts w:ascii="Arial" w:hAnsi="Arial" w:eastAsia="Microsoft YaHei"/>
                <w:b w:val="0"/>
                <w:color w:val="202020"/>
                <w:sz w:val="21"/>
              </w:rPr>
              <w:t>1180/1446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35" w:type="dxa"/>
              <w:bottom w:w="135" w:type="dxa"/>
              <w:left w:w="125" w:type="dxa"/>
              <w:right w:w="125" w:type="dxa"/>
            </w:tcMar>
          </w:tcPr>
          <w:p>
            <w:pPr>
              <w:keepNext w:val="0"/>
              <w:spacing w:after="0" w:line="280" w:lineRule="exact"/>
              <w:jc w:val="center"/>
            </w:pPr>
            <w:r>
              <w:rPr>
                <w:rFonts w:ascii="Arial" w:hAnsi="Arial" w:eastAsia="Microsoft YaHei"/>
                <w:b w:val="0"/>
                <w:color w:val="202020"/>
                <w:sz w:val="21"/>
              </w:rPr>
              <w:t>189/226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35" w:type="dxa"/>
              <w:bottom w:w="135" w:type="dxa"/>
              <w:left w:w="125" w:type="dxa"/>
              <w:right w:w="125" w:type="dxa"/>
            </w:tcMar>
          </w:tcPr>
          <w:p>
            <w:pPr>
              <w:keepNext w:val="0"/>
              <w:spacing w:after="0" w:line="280" w:lineRule="exact"/>
              <w:jc w:val="center"/>
            </w:pPr>
            <w:r>
              <w:rPr>
                <w:rFonts w:ascii="Arial" w:hAnsi="Arial" w:eastAsia="Microsoft YaHei"/>
                <w:b w:val="0"/>
                <w:color w:val="202020"/>
                <w:sz w:val="21"/>
              </w:rPr>
              <w:t>1369/1672</w:t>
            </w:r>
          </w:p>
        </w:tc>
      </w:tr>
    </w:tbl>
    <w:p>
      <w:pPr>
        <w:spacing w:before="140"/>
        <w:jc w:val="both"/>
      </w:pPr>
      <w:r>
        <w:t>原始 Step120 的三轮多数票基线为81.878%。方案一的直接 CPT 和改写 CPT 分别对照这个基线计算增益。363题诊断、8题复核及12问闭卷探针也均使用原始 Step120，不使用已经接触评测答案的候选。</w:t>
      </w:r>
    </w:p>
    <w:p>
      <w:pPr>
        <w:pStyle w:val="Heading2"/>
      </w:pPr>
      <w:r>
        <w:rPr>
          <w:rFonts w:eastAsia="Microsoft YaHei"/>
        </w:rPr>
        <w:t>已完成的同题答案SFT仅作为辅助诊断</w:t>
      </w:r>
    </w:p>
    <w:p>
      <w:pPr>
        <w:jc w:val="both"/>
      </w:pPr>
      <w:r>
        <w:t>另一组已完成实验使用全部1672道原题、完整选项及正确答案 JSON，仅监督答案与结束标记。训练1遍和2遍后，总体同题成绩分别为93.18%和94.44%，对照原始 Step120 的81.88%，说明直接匹配作答目标的监督可以显著提高同题拟合。[9]</w:t>
      </w:r>
    </w:p>
    <w:p>
      <w:pPr>
        <w:jc w:val="both"/>
      </w:pPr>
      <w:r>
        <w:t>这组实验属于“评测题答案 SFT”，不是方案二的“独立书籍问答对 SFT”。它不能证明未见问题上的能力提升，也不能单独证明模型原先已拥有全部知识。方案二后续结果应与原始 Step120 在独立问题上比较。</w:t>
      </w:r>
    </w:p>
    <w:p>
      <w:pPr>
        <w:pStyle w:val="Heading2"/>
      </w:pPr>
      <w:r>
        <w:rPr>
          <w:rFonts w:eastAsia="Microsoft YaHei"/>
        </w:rPr>
        <w:t>当前可用于汇报的判断</w:t>
      </w:r>
    </w:p>
    <w:p>
      <w:pPr>
        <w:jc w:val="both"/>
      </w:pPr>
      <w:r>
        <w:t>现有 GRPO 训练在物流知识问答上的新增收益有限。CPT 能改变文本与答案概率，但本轮转换方式产生的问答提升较小；直接答案监督能提高同题拟合。结合无训练探测，下一阶段值得验证独立书籍问答监督能否改善概念辨析和情景应用，同时继续保留知识校准、输入质量及原 Agent 能力回归检查。</w:t>
      </w:r>
    </w:p>
    <w:p>
      <w:pPr>
        <w:spacing w:after="0" w:line="240" w:lineRule="exact"/>
        <w:jc w:val="both"/>
      </w:pPr>
      <w:r>
        <w:br w:type="page"/>
      </w:r>
    </w:p>
    <w:p>
      <w:pPr>
        <w:pStyle w:val="Heading1"/>
      </w:pPr>
      <w:r>
        <w:rPr>
          <w:rFonts w:eastAsia="Microsoft YaHei"/>
        </w:rPr>
        <w:t>附录 实验身份与证据索引</w:t>
      </w:r>
    </w:p>
    <w:p>
      <w:pPr>
        <w:jc w:val="both"/>
      </w:pPr>
      <w:r>
        <w:t>本报告对应2026年9月3日至7日物流知识实验。早期长程 Agent 实验中的同名 Step120、Qwen3.8 Step70／Step120 及其他沙箱奖励实验不并入本文分数。原生与Step120主比较采用同机同栈；不混用百炼 API 分数与本地模型归因。</w:t>
      </w:r>
    </w:p>
    <w:p>
      <w:pPr>
        <w:pStyle w:val="Heading2"/>
        <w:spacing w:before="160" w:after="60"/>
      </w:pPr>
      <w:r>
        <w:rPr>
          <w:rFonts w:eastAsia="Microsoft YaHei"/>
          <w:sz w:val="22"/>
        </w:rPr>
        <w:t>[1] 模型身份与训练起点</w:t>
      </w:r>
    </w:p>
    <w:p>
      <w:pPr>
        <w:spacing w:after="80" w:line="280" w:lineRule="exact" w:before="100"/>
        <w:jc w:val="left"/>
      </w:pPr>
      <w:r>
        <w:rPr>
          <w:color w:val="595959"/>
          <w:sz w:val="18"/>
        </w:rPr>
        <w:t>docs/qwen36_step120_logistics_adaptation_decision_20260903.md</w:t>
      </w:r>
    </w:p>
    <w:p>
      <w:pPr>
        <w:pStyle w:val="Heading2"/>
        <w:spacing w:before="160" w:after="60"/>
      </w:pPr>
      <w:r>
        <w:rPr>
          <w:rFonts w:eastAsia="Microsoft YaHei"/>
          <w:sz w:val="22"/>
        </w:rPr>
        <w:t>[2] 原生与Step120正式基线</w:t>
      </w:r>
    </w:p>
    <w:p>
      <w:pPr>
        <w:spacing w:after="80" w:line="280" w:lineRule="exact" w:before="100"/>
        <w:jc w:val="left"/>
      </w:pPr>
      <w:r>
        <w:rPr>
          <w:color w:val="595959"/>
          <w:sz w:val="18"/>
        </w:rPr>
        <w:t>docs/qwen36_step120_logistics_stage0_evaluation_20260903.md</w:t>
      </w:r>
    </w:p>
    <w:p>
      <w:pPr>
        <w:pStyle w:val="Heading2"/>
        <w:spacing w:before="160" w:after="60"/>
      </w:pPr>
      <w:r>
        <w:rPr>
          <w:rFonts w:eastAsia="Microsoft YaHei"/>
          <w:sz w:val="22"/>
        </w:rPr>
        <w:t>[3] 363题四条件诊断协议</w:t>
      </w:r>
    </w:p>
    <w:p>
      <w:pPr>
        <w:spacing w:after="80" w:line="280" w:lineRule="exact" w:before="100"/>
        <w:jc w:val="left"/>
      </w:pPr>
      <w:r>
        <w:rPr>
          <w:color w:val="595959"/>
          <w:sz w:val="18"/>
        </w:rPr>
        <w:t>docs/step120_qa_diagnostic_20260907.md</w:t>
      </w:r>
    </w:p>
    <w:p>
      <w:pPr>
        <w:pStyle w:val="Heading2"/>
        <w:spacing w:before="160" w:after="60"/>
      </w:pPr>
      <w:r>
        <w:rPr>
          <w:rFonts w:eastAsia="Microsoft YaHei"/>
          <w:sz w:val="22"/>
        </w:rPr>
        <w:t>[4] 363题复算及8题补证结果</w:t>
      </w:r>
    </w:p>
    <w:p>
      <w:pPr>
        <w:spacing w:after="80" w:line="280" w:lineRule="exact" w:before="100"/>
        <w:jc w:val="left"/>
      </w:pPr>
      <w:r>
        <w:rPr>
          <w:color w:val="595959"/>
          <w:sz w:val="18"/>
        </w:rPr>
        <w:t>docs/step120_evidence_review_20260907.md</w:t>
      </w:r>
    </w:p>
    <w:p>
      <w:pPr>
        <w:pStyle w:val="Heading2"/>
        <w:spacing w:before="160" w:after="60"/>
      </w:pPr>
      <w:r>
        <w:rPr>
          <w:rFonts w:eastAsia="Microsoft YaHei"/>
          <w:sz w:val="22"/>
        </w:rPr>
        <w:t>[5] 4个知识点的12问闭卷诊断</w:t>
      </w:r>
    </w:p>
    <w:p>
      <w:pPr>
        <w:spacing w:after="80" w:line="280" w:lineRule="exact" w:before="100"/>
        <w:jc w:val="left"/>
      </w:pPr>
      <w:r>
        <w:rPr>
          <w:color w:val="595959"/>
          <w:sz w:val="18"/>
        </w:rPr>
        <w:t>docs/step120_closed_knowledge_20260907.md</w:t>
      </w:r>
    </w:p>
    <w:p>
      <w:pPr>
        <w:pStyle w:val="Heading2"/>
        <w:spacing w:before="160" w:after="60"/>
      </w:pPr>
      <w:r>
        <w:rPr>
          <w:rFonts w:eastAsia="Microsoft YaHei"/>
          <w:sz w:val="22"/>
        </w:rPr>
        <w:t>[6] 直接与改写CPT结果及历史更正</w:t>
      </w:r>
    </w:p>
    <w:p>
      <w:pPr>
        <w:spacing w:after="80" w:line="280" w:lineRule="exact" w:before="100"/>
        <w:jc w:val="left"/>
      </w:pPr>
      <w:r>
        <w:rPr>
          <w:color w:val="595959"/>
          <w:sz w:val="18"/>
        </w:rPr>
        <w:t>docs/qwen36_step120_logistics_exam_cpt_direct_vs_rewritten_20260904.md</w:t>
      </w:r>
    </w:p>
    <w:p>
      <w:pPr>
        <w:pStyle w:val="Heading2"/>
        <w:spacing w:before="160" w:after="60"/>
      </w:pPr>
      <w:r>
        <w:rPr>
          <w:rFonts w:eastAsia="Microsoft YaHei"/>
          <w:sz w:val="22"/>
        </w:rPr>
        <w:t>[7] 答案吸收与上下文依赖补测</w:t>
      </w:r>
    </w:p>
    <w:p>
      <w:pPr>
        <w:spacing w:after="80" w:line="280" w:lineRule="exact" w:before="100"/>
        <w:jc w:val="left"/>
      </w:pPr>
      <w:r>
        <w:rPr>
          <w:color w:val="595959"/>
          <w:sz w:val="18"/>
        </w:rPr>
        <w:t>docs/logistics_cpt_answer_learning_followup_20260905.md</w:t>
      </w:r>
    </w:p>
    <w:p>
      <w:pPr>
        <w:pStyle w:val="Heading2"/>
        <w:spacing w:before="160" w:after="60"/>
      </w:pPr>
      <w:r>
        <w:rPr>
          <w:rFonts w:eastAsia="Microsoft YaHei"/>
          <w:sz w:val="22"/>
        </w:rPr>
        <w:t>[8] 单书2遍与4遍曝光对照</w:t>
      </w:r>
    </w:p>
    <w:p>
      <w:pPr>
        <w:spacing w:after="80" w:line="280" w:lineRule="exact" w:before="100"/>
        <w:jc w:val="left"/>
      </w:pPr>
      <w:r>
        <w:rPr>
          <w:color w:val="595959"/>
          <w:sz w:val="18"/>
        </w:rPr>
        <w:t>docs/qwen36_step120_logistics_cpt_exposure_curve_2x4x_20260904.md</w:t>
      </w:r>
    </w:p>
    <w:p>
      <w:pPr>
        <w:pStyle w:val="Heading2"/>
        <w:spacing w:before="160" w:after="60"/>
      </w:pPr>
      <w:r>
        <w:rPr>
          <w:rFonts w:eastAsia="Microsoft YaHei"/>
          <w:sz w:val="22"/>
        </w:rPr>
        <w:t>[9] 同题答案SFT最终结果</w:t>
      </w:r>
    </w:p>
    <w:p>
      <w:pPr>
        <w:spacing w:after="80" w:line="280" w:lineRule="exact" w:before="100"/>
        <w:jc w:val="left"/>
      </w:pPr>
      <w:r>
        <w:rPr>
          <w:color w:val="595959"/>
          <w:sz w:val="18"/>
        </w:rPr>
        <w:t>docs/logistics_mcq_fit_results_20260907.md</w:t>
      </w:r>
    </w:p>
    <w:p>
      <w:pPr>
        <w:jc w:val="left"/>
      </w:pPr>
      <w:r>
        <w:t>主要任务记录  CPT 工程实现-Step120垂域知识首训</w:t>
        <w:br/>
        <w:t>任务标识  01a05bea-47dd-7202-a358-81e8eb40e125</w:t>
      </w:r>
    </w:p>
    <w:p>
      <w:pPr>
        <w:jc w:val="both"/>
      </w:pPr>
      <w:r>
        <w:t>本文仅保留聚合计数、方法和结论，不含评测题面、标准答案、书籍原文或模型逐条输出。</w:t>
      </w:r>
    </w:p>
    <w:sectPr w:rsidR="00FC693F" w:rsidRPr="0006063C" w:rsidSect="00034616">
      <w:footerReference w:type="default" r:id="rId9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77777"/>
        <w:sz w:val="18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340" w:lineRule="exact"/>
    </w:pPr>
    <w:rPr>
      <w:rFonts w:ascii="Arial" w:hAnsi="Arial" w:eastAsia="SimSun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 w:line="276" w:lineRule="auto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 w:line="276" w:lineRule="auto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76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20" w:line="269" w:lineRule="auto"/>
    </w:pPr>
    <w:rPr>
      <w:rFonts w:asciiTheme="majorHAnsi" w:eastAsiaTheme="majorEastAsia" w:hAnsiTheme="majorHAnsi" w:cstheme="majorBidi" w:ascii="Arial" w:hAnsi="Arial" w:eastAsia="Microsoft YaHei"/>
      <w:b w:val="0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Step120物流知识能力诊断与优化实验</dc:title>
  <dc:subject>物流知识评测 CPT 诊断及原始模型对照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