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pageBreakBefore w:val="0"/>
        <w:widowControl/>
        <w:spacing w:line="360" w:lineRule="auto" w:before="0" w:after="80"/>
        <w:ind w:firstLineChars="0" w:firstLine="0"/>
      </w:pPr>
      <w:r>
        <w:rPr>
          <w:rFonts w:ascii="Times New Roman" w:hAnsi="Times New Roman" w:eastAsia="SimHei"/>
          <w:b/>
          <w:sz w:val="48"/>
          <w:color w:val="000000"/>
        </w:rPr>
        <w:t>Step120物流知识优化实验</w:t>
      </w:r>
    </w:p>
    <w:p>
      <w:pPr>
        <w:pStyle w:val="Subtitle"/>
        <w:keepNext w:val="0"/>
        <w:pageBreakBefore w:val="0"/>
        <w:widowControl/>
        <w:spacing w:line="360" w:lineRule="auto" w:before="0" w:after="80"/>
        <w:ind w:firstLineChars="0" w:firstLine="0"/>
      </w:pPr>
      <w:r>
        <w:rPr>
          <w:rFonts w:ascii="Times New Roman" w:hAnsi="Times New Roman" w:eastAsia="SimSun"/>
          <w:b w:val="0"/>
          <w:sz w:val="30"/>
          <w:color w:val="000000"/>
        </w:rPr>
        <w:t>阶段报告  2026年9月7日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本报告按五个环节展开：基线比较发现提升空间，条件对照提供根因线索，CPT 检验知识文本学习，书籍问答 SFT 检验作答监督，未做 SFT 的模型对照用于评估收益。</w:t>
      </w:r>
    </w:p>
    <w:p>
      <w:pPr>
        <w:pStyle w:val="Heading1"/>
        <w:keepNext/>
        <w:pageBreakBefore w:val="0"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一 背景 明确专项优化方向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在同机、同推理配置下，对比原生 Qwen3.6-27B 与 Step120 在 LogistikaBench、SC-bench 知识题上的表现。[2]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评测范围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原生模型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Step120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变化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LogistikaBench  1446题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81.26%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81.60%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+0.35点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SC-bench知识题  226题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83.19%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83.63%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+0.44点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合计  1672题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81.52%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81.88%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+0.36点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两模型得分接近，说明现有训练带来的物流知识问答增益较小。本轮以错题为切入点，定位原因并开展专项优化。 表中变化单位为百分点。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本文 Step120 指2026年8月25日完成100步垂域 GRPO 与20步开源数据训练的模型；“原始 Step120”指本轮 CPT、SFT 之前的权重。[1]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二 探测 获取知识储备与应用线索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探测围绕两个问题获取线索：模型是否掌握相关知识，以及能否在原题中使用知识。固定原始 Step120，设置原题闭卷、原题加教材、基础题闭卷、基础题加教材四种条件，各重复3轮；检索不使用标准答案，基础题与资料质量分别审核。[3]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2268"/>
        <w:gridCol w:w="2268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样本与条件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闭卷答对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加教材答对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历史错题  303题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6/303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58/303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原答对对照  60题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57/60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54/60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历史错题中的有效基础题  65题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59/65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64/65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基础题闭卷表现支持“部分相关知识可被调用”，不代表全部原题所需知识已经具备。教材改善了部分历史错题，也干扰了部分原答对题，说明资料支持有帮助，但其作用并不一致。[4]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原题与基础题的样本、难度不同，不能直接比较正确率归因。现有结果尚不能区分：教材补充了缺失知识，还是帮助调用了已有知识。因此进一步开展 CPT，检验把相关知识转入训练后，模型能否在不提供教材时改善作答。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三 方案一 用 CPT 检验知识补充效果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将评测基准转为文本语料，检验相关知识训练能否改善闭卷作答。直接题面与改写题面两组均从原始 Step120 启动，各训练4遍、64步，再按统一三轮多数票口径评测。[6]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2098"/>
        <w:gridCol w:w="1984"/>
        <w:gridCol w:w="2041"/>
      </w:tblGrid>
      <w:tr>
        <w:trPr>
          <w:cantSplit/>
          <w:tblHeader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模型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答对数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准确率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相对Step120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原始Step120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1369/1672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81.878%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—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直接题面CPT  4遍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1381/1672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82.596%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+0.7177点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改写题面CPT  4遍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1373/1672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82.117%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+0.2392点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CPT 后得分小幅提升，训练损失下降，说明这组文本训练产生了学习效果，但问答收益较小。损失下降不等于知识已充分吸收，该结果仍不能区分知识吸收与调用的影响。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因此进一步改变监督方式：从学习知识文本，转为直接训练“问题—答案”对应关系，检验问答 SFT 能否增加收益。这里验证的是优化方法，不据此认定知识完全无缺失。本组使用评测题及答案，成绩仅用于同题诊断。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四 方案二 将书籍转为问答开展 SFT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CPT 学习知识文本，问答 SFT 直接训练模型根据问题条件组织知识并生成答案。为检验这种监督方式，将采集书籍转为有出处、经复核的问答对，覆盖事实校准、概念辨析、条件判断和情景应用。闭卷诊断为这些训练方向提供线索，详见附录。[5]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方案一的评测题 CPT 用于诊断；本方案采用独立书籍数据，训练路线为：原始 Step120 → 书籍原文 CPT → 书籍问答 SFT。SFT 从已测书籍 CPT 中得分最高的四遍模型启动，对应第116步。选择它是统一训练起点，不代表已经证明 CPT 是必要步骤。[8]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SFT 沿用该模型权重，重新初始化优化器与训练日程。问答数据不使用公开评测答案、错题派生诊断题或定向补证资料。书籍 CPT 的候选比较见附录。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五 方案三 用未做 SFT 的模型验证收益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保留原始 Step120 和最佳书籍 CPT 两个未做 SFT 的对照，与书籍 SFT 模型统一评测。原始 Step120 用于判断整条路线是否提升；书籍 CPT 对照用于分离追加 SFT 的收益。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835"/>
        <w:gridCol w:w="3855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比较对象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模型状态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E7E6E6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比较目的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A  原始Step120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本轮CPT及SFT前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衡量整条训练路线的总收益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B  最佳书籍CPT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书籍4遍 第116步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FFFFF"/>
          </w:tcPr>
          <w:p>
            <w:pPr>
              <w:keepNext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衡量书籍CPT阶段的变化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C  书籍CPT后SFT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从 B 完成 QA 训练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35" w:type="dxa"/>
              <w:bottom w:w="135" w:type="dxa"/>
              <w:left w:w="125" w:type="dxa"/>
              <w:right w:w="125" w:type="dxa"/>
            </w:tcMar>
            <w:shd w:fill="F5F5F5"/>
          </w:tcPr>
          <w:p>
            <w:pPr>
              <w:keepNext w:val="0"/>
              <w:spacing w:after="0" w:line="360" w:lineRule="auto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相对B衡量SFT增量 相对A衡量总收益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三模型采用相同题集、推理配置与评分口径。公开基准检验得分变化，独立题集检验泛化，Agent 与通用能力回归检验原有能力是否保持。</w:t>
      </w:r>
    </w:p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评测准确率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2016"/>
        <w:gridCol w:w="1872"/>
        <w:gridCol w:w="1872"/>
      </w:tblGrid>
      <w:tr>
        <w:trPr>
          <w:cantSplit/>
          <w:tblHeader/>
        </w:trPr>
        <w:tc>
          <w:tcPr>
            <w:tcW w:type="dxa" w:w="316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评测集</w:t>
            </w:r>
          </w:p>
        </w:tc>
        <w:tc>
          <w:tcPr>
            <w:tcW w:type="dxa" w:w="201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A 原始 Step120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B 书籍 CPT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C 书籍 SFT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LogistikaBench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81.60%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SC-bench 知识题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83.63%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合计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81.878%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81.998%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</w:tbl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独立题集与能力回归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2016"/>
        <w:gridCol w:w="1872"/>
        <w:gridCol w:w="1872"/>
      </w:tblGrid>
      <w:tr>
        <w:trPr>
          <w:cantSplit/>
          <w:tblHeader/>
        </w:trPr>
        <w:tc>
          <w:tcPr>
            <w:tcW w:type="dxa" w:w="316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评估项目</w:t>
            </w:r>
          </w:p>
        </w:tc>
        <w:tc>
          <w:tcPr>
            <w:tcW w:type="dxa" w:w="201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A 原始 Step120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B 书籍 CPT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C 书籍 SFT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独立问答题集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原有 Agent 能力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通用能力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C 相对 B 的变化衡量追加 SFT 的收益，C 相对 A 的变化衡量整条路线收益；同时结合独立题集和原有能力回归判断。未设置 Step120 直接 SFT 对照，因此不判断 CPT 是否必要或是否优于直接 SFT。</w:t>
      </w:r>
    </w:p>
    <w:p>
      <w:pPr>
        <w:pStyle w:val="Heading2"/>
        <w:keepNext/>
        <w:pageBreakBefore w:val="0"/>
        <w:widowControl/>
        <w:spacing w:line="360" w:lineRule="auto" w:before="160" w:after="84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实验结论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附录一 诊断与训练补充证据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以下保留方法细节及补充实验，用于核查正文结论。</w:t>
      </w:r>
    </w:p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1 CPT 逐题变化与学习表现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配对结果按原始 Step120 逐题比较；p 值未经多重比较校正。[6]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2808"/>
        <w:gridCol w:w="2808"/>
      </w:tblGrid>
      <w:tr>
        <w:trPr>
          <w:cantSplit/>
          <w:tblHeader/>
        </w:trPr>
        <w:tc>
          <w:tcPr>
            <w:tcW w:type="dxa" w:w="331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指标</w:t>
            </w:r>
          </w:p>
        </w:tc>
        <w:tc>
          <w:tcPr>
            <w:tcW w:type="dxa" w:w="280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直接题面 CPT</w:t>
            </w:r>
          </w:p>
        </w:tc>
        <w:tc>
          <w:tcPr>
            <w:tcW w:type="dxa" w:w="280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改写题面 CPT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错转对</w:t>
            </w:r>
          </w:p>
        </w:tc>
        <w:tc>
          <w:tcPr>
            <w:tcW w:type="dxa" w:w="28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21</w:t>
            </w:r>
          </w:p>
        </w:tc>
        <w:tc>
          <w:tcPr>
            <w:tcW w:type="dxa" w:w="28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对转错</w:t>
            </w:r>
          </w:p>
        </w:tc>
        <w:tc>
          <w:tcPr>
            <w:tcW w:type="dxa" w:w="28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9</w:t>
            </w:r>
          </w:p>
        </w:tc>
        <w:tc>
          <w:tcPr>
            <w:tcW w:type="dxa" w:w="28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净增答对</w:t>
            </w:r>
          </w:p>
        </w:tc>
        <w:tc>
          <w:tcPr>
            <w:tcW w:type="dxa" w:w="28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12</w:t>
            </w:r>
          </w:p>
        </w:tc>
        <w:tc>
          <w:tcPr>
            <w:tcW w:type="dxa" w:w="28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未校正检验 p 值</w:t>
            </w:r>
          </w:p>
        </w:tc>
        <w:tc>
          <w:tcPr>
            <w:tcW w:type="dxa" w:w="28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0.0428</w:t>
            </w:r>
          </w:p>
        </w:tc>
        <w:tc>
          <w:tcPr>
            <w:tcW w:type="dxa" w:w="28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0.4545</w:t>
            </w:r>
          </w:p>
        </w:tc>
      </w:tr>
    </w:tbl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训练损失与答案位置负对数似然（NLL，越低越好）如下。NLL 改善较依赖原训练上下文。[7]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168"/>
        <w:gridCol w:w="1872"/>
        <w:gridCol w:w="1872"/>
      </w:tblGrid>
      <w:tr>
        <w:trPr>
          <w:cantSplit/>
          <w:tblHeader/>
        </w:trPr>
        <w:tc>
          <w:tcPr>
            <w:tcW w:type="dxa" w:w="201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指标</w:t>
            </w:r>
          </w:p>
        </w:tc>
        <w:tc>
          <w:tcPr>
            <w:tcW w:type="dxa" w:w="316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比较口径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起始值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结束值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训练损失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直接组 第1至4遍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3.8054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2.1378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训练损失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改写组 第1至4遍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3.4648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2.1423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答案 NLL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原训练上下文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4.7873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2.4873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答案 NLL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独立题面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2.8990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2.6632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直接组保留题干和正确答案，删除干扰项；改写组有1625题通过审核、47题保留原题。判断题沿用原命题并附真假结论，未全部转成正向知识陈述。</w:t>
      </w:r>
    </w:p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2 书籍 CPT 与 SFT 起点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书籍原文 CPT 的学习表现与问答结果如下。[8]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2448"/>
        <w:gridCol w:w="2736"/>
      </w:tblGrid>
      <w:tr>
        <w:trPr>
          <w:cantSplit/>
          <w:tblHeader/>
        </w:trPr>
        <w:tc>
          <w:tcPr>
            <w:tcW w:type="dxa" w:w="3744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指标</w:t>
            </w:r>
          </w:p>
        </w:tc>
        <w:tc>
          <w:tcPr>
            <w:tcW w:type="dxa" w:w="244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原始 Step120</w:t>
            </w:r>
          </w:p>
        </w:tc>
        <w:tc>
          <w:tcPr>
            <w:tcW w:type="dxa" w:w="273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书籍 CPT 四遍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书内 NLL 相对改善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基准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4.126%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书内改写题答对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189/200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189/200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公开题答对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1369/1672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1371/1672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公开题准确率增量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基准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+0.1196个百分点</w:t>
            </w:r>
          </w:p>
        </w:tc>
      </w:tr>
    </w:tbl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各候选按统一三轮多数票口径比较。[8][10]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2736"/>
        <w:gridCol w:w="2448"/>
      </w:tblGrid>
      <w:tr>
        <w:trPr>
          <w:cantSplit/>
          <w:tblHeader/>
        </w:trPr>
        <w:tc>
          <w:tcPr>
            <w:tcW w:type="dxa" w:w="3744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模型</w:t>
            </w:r>
          </w:p>
        </w:tc>
        <w:tc>
          <w:tcPr>
            <w:tcW w:type="dxa" w:w="273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答对数</w:t>
            </w:r>
          </w:p>
        </w:tc>
        <w:tc>
          <w:tcPr>
            <w:tcW w:type="dxa" w:w="244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相对 Step120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原始 Step120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1369/1672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基准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书籍 CPT 一遍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1370/1672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+1题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书籍 CPT 两遍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1366/1672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−3题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书籍 CPT 四遍</w:t>
            </w:r>
          </w:p>
        </w:tc>
        <w:tc>
          <w:tcPr>
            <w:tcW w:type="dxa" w:w="27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1371/1672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+2题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所选四遍模型标识为 qwen3.6-27b-step120-handbook8e-cpt-4x。选择依据是已测候选得分最高，稳定收益由统一评测检验。</w:t>
      </w:r>
    </w:p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3 补证与闭卷诊断</w:t>
      </w:r>
    </w:p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原题诊断样本包括303道历史错题（LogistikaBench 266题、SC-bench 37题）及60道原答对题。提示与正式评测不同，因此历史错题可在诊断中答对。[3][4]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自动审核中259/363条记录缺失或无效，不能据此判断教材覆盖。复核8题发现资料不足、缺图、重复选项及诊断题过浅等问题。[4]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888"/>
        <w:gridCol w:w="2160"/>
      </w:tblGrid>
      <w:tr>
        <w:trPr>
          <w:cantSplit/>
          <w:tblHeader/>
        </w:trPr>
        <w:tc>
          <w:tcPr>
            <w:tcW w:type="dxa" w:w="2880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样本</w:t>
            </w:r>
          </w:p>
        </w:tc>
        <w:tc>
          <w:tcPr>
            <w:tcW w:type="dxa" w:w="388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条件</w:t>
            </w:r>
          </w:p>
        </w:tc>
        <w:tc>
          <w:tcPr>
            <w:tcW w:type="dxa" w:w="2160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答对数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定向补证 4题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闭卷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0/4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同上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原教材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0/4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同上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核实补证资料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4/4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题型提示 8题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仅增加题型提示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0/8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补证资料在查阅标准答案后按相关概念定向选取，结果不能外推至全部错题，也不足以区分知识缺失与调用困难。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围绕相关知识点设置定义、辨析和应用问答，各重复3轮，结果如下。[5]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872"/>
        <w:gridCol w:w="3888"/>
      </w:tblGrid>
      <w:tr>
        <w:trPr>
          <w:cantSplit/>
          <w:tblHeader/>
        </w:trPr>
        <w:tc>
          <w:tcPr>
            <w:tcW w:type="dxa" w:w="316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诊断项目</w:t>
            </w:r>
          </w:p>
        </w:tc>
        <w:tc>
          <w:tcPr>
            <w:tcW w:type="dxa" w:w="187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通过数</w:t>
            </w:r>
          </w:p>
        </w:tc>
        <w:tc>
          <w:tcPr>
            <w:tcW w:type="dxa" w:w="3888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评分口径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定义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2/4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预设核心要点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辨析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3/4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预设核心要点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应用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1/4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预设核心要点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合计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6/12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预设核心要点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合计 严格复核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5/12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同时排除附加事实错误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每问至少2/3轮达到预设核心要点才计通过。附加事实错误核查属于事后敏感性分析；样本仅用于定向诊断，不作全领域外推。</w:t>
      </w:r>
    </w:p>
    <w:p>
      <w:pPr>
        <w:pStyle w:val="Heading2"/>
        <w:keepNext/>
        <w:pageBreakBefore w:val="0"/>
        <w:widowControl/>
        <w:spacing w:line="360" w:lineRule="auto" w:before="160" w:after="120"/>
        <w:ind w:firstLineChars="0" w:firstLine="0"/>
      </w:pPr>
      <w:r>
        <w:rPr>
          <w:rFonts w:eastAsia="SimHei" w:ascii="Times New Roman" w:hAnsi="Times New Roman"/>
          <w:b/>
          <w:sz w:val="32"/>
          <w:color w:val="000000"/>
        </w:rPr>
        <w:t>4 同题答案 SFT 补充实验</w:t>
      </w:r>
    </w:p>
    <w:p>
      <w:pPr>
        <w:keepNext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以全部1672道原题、完整选项及正确答案训练，仅监督答案与结束标记。[9]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2016"/>
        <w:gridCol w:w="2880"/>
      </w:tblGrid>
      <w:tr>
        <w:trPr>
          <w:cantSplit/>
          <w:tblHeader/>
        </w:trPr>
        <w:tc>
          <w:tcPr>
            <w:tcW w:type="dxa" w:w="4032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模型</w:t>
            </w:r>
          </w:p>
        </w:tc>
        <w:tc>
          <w:tcPr>
            <w:tcW w:type="dxa" w:w="2016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训练遍数</w:t>
            </w:r>
          </w:p>
        </w:tc>
        <w:tc>
          <w:tcPr>
            <w:tcW w:type="dxa" w:w="2880"/>
            <w:vAlign w:val="center"/>
            <w:shd w:fill="E7E6E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/>
                <w:color w:val="000000"/>
                <w:sz w:val="30"/>
              </w:rPr>
              <w:t>同题准确率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原始 Step120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0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81.88%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答案 SFT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1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93.18%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left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答案 SFT</w:t>
            </w:r>
          </w:p>
        </w:tc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2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360" w:lineRule="auto" w:before="60" w:after="60"/>
              <w:ind w:firstLine="0" w:firstLineChars="0"/>
              <w:jc w:val="center"/>
            </w:pPr>
            <w:r>
              <w:rPr>
                <w:rFonts w:ascii="Times New Roman" w:hAnsi="Times New Roman" w:eastAsia="SimSun"/>
                <w:b w:val="0"/>
                <w:color w:val="000000"/>
                <w:sz w:val="30"/>
              </w:rPr>
              <w:t>94.44%</w:t>
            </w:r>
          </w:p>
        </w:tc>
      </w:tr>
    </w:tbl>
    <w:p>
      <w:pPr>
        <w:keepNext w:val="0"/>
        <w:pageBreakBefore w:val="0"/>
        <w:widowControl/>
        <w:spacing w:line="360" w:lineRule="auto" w:before="0" w:after="80"/>
        <w:ind w:firstLineChars="200" w:firstLine="6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该实验说明答案监督能提高同题拟合，不代表未见题目上的提升。其数据来源和模型均与正文的独立书籍 SFT 分开。</w:t>
      </w:r>
    </w:p>
    <w:p>
      <w:pPr>
        <w:pStyle w:val="Heading1"/>
        <w:keepNext/>
        <w:pageBreakBefore/>
        <w:widowControl/>
        <w:spacing w:line="360" w:lineRule="auto" w:before="240" w:after="120"/>
        <w:ind w:firstLineChars="0" w:firstLine="0"/>
      </w:pPr>
      <w:r>
        <w:rPr>
          <w:rFonts w:eastAsia="SimHei" w:ascii="Times New Roman" w:hAnsi="Times New Roman"/>
          <w:b/>
          <w:sz w:val="40"/>
          <w:color w:val="000000"/>
        </w:rPr>
        <w:t>附录二 实验范围与证据索引</w:t>
      </w:r>
    </w:p>
    <w:p>
      <w:pPr>
        <w:widowControl/>
        <w:spacing w:line="360" w:lineRule="auto" w:before="0" w:after="60"/>
        <w:ind w:firstLine="600" w:firstLineChars="2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本文汇总2026年9月3日至7日的物流知识实验，仅采用同机、同推理配置的对应模型结果。其他同名 Step120、Qwen3.8 及 API 实验分数不纳入比较。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[1] 模型身份与训练起点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docs/qwen36_step120_logistics_adaptation_decision_20260903.md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[2] 原生与Step120正式基线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docs/qwen36_step120_logistics_stage0_evaluation_20260903.md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[3] 363题四条件诊断协议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docs/step120_qa_diagnostic_20260907.md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[4] 363题复算及8题补证结果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docs/step120_evidence_review_20260907.md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[5] 4个知识点的12问闭卷诊断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docs/step120_closed_knowledge_20260907.md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[6] 直接与改写 CPT 结果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docs/qwen36_step120_logistics_exam_cpt_direct_vs_rewritten_20260904.md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[7] 答案吸收与上下文依赖补测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docs/logistics_cpt_answer_learning_followup_20260905.md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[8] 书籍 CPT 两遍与四遍对照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docs/qwen36_step120_logistics_cpt_exposure_curve_2x4x_20260904.md</w:t>
      </w:r>
    </w:p>
    <w:p>
      <w:pPr>
        <w:pStyle w:val="Heading2"/>
        <w:keepNext/>
        <w:widowControl/>
        <w:spacing w:before="0" w:after="40" w:line="360" w:lineRule="auto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[9] 同题答案SFT最终结果</w:t>
      </w:r>
    </w:p>
    <w:p>
      <w:pPr>
        <w:widowControl/>
        <w:spacing w:after="40" w:line="360" w:lineRule="auto" w:before="0"/>
        <w:ind w:firstLine="600" w:firstLineChars="200"/>
        <w:jc w:val="left"/>
      </w:pPr>
      <w:r>
        <w:rPr>
          <w:rFonts w:ascii="Times New Roman" w:hAnsi="Times New Roman" w:eastAsia="SimSun"/>
          <w:b w:val="0"/>
          <w:color w:val="000000"/>
          <w:sz w:val="30"/>
          <w:spacing w:val="-12"/>
        </w:rPr>
        <w:t>docs/logistics_mcq_fit_results_20260907.md</w:t>
      </w:r>
    </w:p>
    <w:p>
      <w:pPr>
        <w:pStyle w:val="Heading2"/>
        <w:keepNext/>
        <w:widowControl/>
        <w:spacing w:line="360" w:lineRule="auto" w:before="0" w:after="40"/>
        <w:ind w:firstLine="0" w:firstLineChars="0"/>
      </w:pPr>
      <w:r>
        <w:rPr>
          <w:rFonts w:eastAsia="SimHei" w:ascii="Times New Roman" w:hAnsi="Times New Roman"/>
          <w:b/>
          <w:sz w:val="32"/>
          <w:color w:val="000000"/>
        </w:rPr>
        <w:t>[10] 单书首遍CPT的三轮复测</w:t>
      </w:r>
    </w:p>
    <w:p>
      <w:pPr>
        <w:widowControl/>
        <w:spacing w:line="360" w:lineRule="auto" w:before="0" w:after="40"/>
        <w:ind w:firstLine="600" w:firstLineChars="200"/>
        <w:jc w:val="left"/>
      </w:pPr>
      <w:r>
        <w:rPr>
          <w:rFonts w:ascii="Times New Roman" w:hAnsi="Times New Roman" w:eastAsia="SimSun"/>
          <w:b w:val="0"/>
          <w:sz w:val="30"/>
          <w:color w:val="000000"/>
          <w:spacing w:val="-12"/>
        </w:rPr>
        <w:t>docs/qwen36_step120_logistics_cpt_five_test_diagnosis_20260904.md</w:t>
      </w:r>
    </w:p>
    <w:p>
      <w:pPr>
        <w:widowControl/>
        <w:spacing w:line="360" w:lineRule="auto" w:before="0" w:after="40"/>
        <w:ind w:firstLine="600" w:firstLineChars="200"/>
        <w:jc w:val="left"/>
      </w:pPr>
      <w:r>
        <w:rPr>
          <w:rFonts w:ascii="Times New Roman" w:hAnsi="Times New Roman" w:eastAsia="SimSun"/>
          <w:b w:val="0"/>
          <w:sz w:val="30"/>
          <w:color w:val="000000"/>
        </w:rPr>
        <w:t>主要任务记录  CPT 工程实现-Step120垂域知识首训</w:t>
        <w:br/>
        <w:t>任务标识  01a05bea-47dd-7202-a358-81e8eb40e125</w:t>
      </w:r>
    </w:p>
    <w:p>
      <w:pPr>
        <w:widowControl/>
        <w:spacing w:line="360" w:lineRule="auto" w:before="0" w:after="40"/>
        <w:ind w:firstLine="600" w:firstLineChars="200"/>
        <w:jc w:val="both"/>
      </w:pPr>
      <w:r>
        <w:rPr>
          <w:rFonts w:ascii="Times New Roman" w:hAnsi="Times New Roman" w:eastAsia="SimSun"/>
          <w:b w:val="0"/>
          <w:sz w:val="30"/>
          <w:color w:val="000000"/>
        </w:rPr>
        <w:t>本文保留汇总结果与证据索引，评测题、书籍原文及逐条模型输出另存。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 w:firstLineChars="0"/>
      <w:jc w:val="right"/>
    </w:pPr>
    <w:r>
      <w:rPr>
        <w:rFonts w:ascii="Times New Roman" w:hAnsi="Times New Roman"/>
        <w:color w:val="000000"/>
        <w:sz w:val="22"/>
      </w:rP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 w:firstLineChars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 w:firstLineChars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 w:firstLineChars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 w:firstLineChars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 w:firstLineChars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rFonts w:ascii="Times New Roman" w:hAnsi="Times New Roman" w:eastAsia="SimSun"/>
      <w:b w:val="0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 w:eastAsia="Sim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60" w:lineRule="auto"/>
    </w:pPr>
    <w:rPr>
      <w:rFonts w:asciiTheme="majorHAnsi" w:eastAsiaTheme="majorEastAsia" w:hAnsiTheme="majorHAnsi" w:cstheme="majorBidi" w:ascii="Times New Roman" w:hAnsi="Times New Roman" w:eastAsia="SimSun"/>
      <w:b w:val="0"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Step120物流知识能力诊断与优化实验</dc:title>
  <dc:subject>物流知识评测 CPT 诊断及原始模型对照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