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</w:pPr>
      <w:r>
        <w:rPr>
          <w:rFonts w:ascii="Times New Roman" w:hAnsi="Times New Roman" w:eastAsia="SimHei"/>
          <w:b/>
          <w:sz w:val="48"/>
        </w:rPr>
        <w:t>Step120物流知识能力诊断与优化实验</w:t>
      </w:r>
    </w:p>
    <w:p>
      <w:pPr>
        <w:pStyle w:val="Subtitle"/>
        <w:widowControl/>
        <w:spacing w:line="360" w:lineRule="auto" w:before="0" w:after="120"/>
      </w:pPr>
      <w:r>
        <w:rPr>
          <w:rFonts w:ascii="Times New Roman" w:hAnsi="Times New Roman" w:eastAsia="SimSun"/>
          <w:b w:val="0"/>
          <w:sz w:val="30"/>
        </w:rPr>
        <w:t>阶段报告  2026年9月7日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Step120 已完成既有 GRPO 训练，但在物流知识问答上与原生开源模型仍处于相近水平。我们围绕知识储备、知识吸收和问答利用开展了分层探测，并完成评测题语料 CPT 及原始模型对照。现有证据支持知识利用不足是重要问题，但不能排除局部知识范围和概念掌握不完整。</w:t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一 背景与问题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本报告的 Step120 指 2026年8月25日开源数据续训后的模型，实验标识为 llin-step120-opensource-20260825-02。按训练记录，该模型先接受100步垂域轨迹 GRPO，再完成20步开源数据更新；此前训练未专门引入本轮物流书籍知识。[1]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为检查垂域 Agent 训练是否同时带来物流知识收益，我们比较同机、同推理栈的原生 Qwen3.6-27B 与 Step120。结果均在80多分，差距不到半个百分点。[2]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20202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color w:val="595959"/>
          <w:sz w:val="30"/>
        </w:rPr>
        <w:t>注：变化按未四舍五入的原始分数计算，单位为百分点。SC-bench 的100道工具题不在本表内。主比较采用相同 BF16 精度、温度0、关闭 thinking 和严格答案集合评分。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问题判断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这一结果说明，既有训练尚未形成明显的物流知识问答增益，垂域 Agent 优化没有自动转化为同等幅度的知识问答优势。Step120 共答对1369题，仍有303题答错；但仅凭总分不能判断这些错误究竟来自知识缺口、概念调用、情景应用，还是输入与评分问题。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本轮主比较净增6题，低于项目此前设定的物流知识提升3个百分点的实用门槛。以下实验用于拆解差距，不把“80多分”直接等同于“缺知识”。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二 探测方法与已完成结果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探测按“评测是否可靠 → 资料是否充分 → 基础知识能否调用 → 原问题能否应用 → 训练信号是否转成答案”逐层展开。各层分别设置对照，避免只看总分或训练 loss 就判定根因。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1 固定错题和正确对照做四条件探测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冻结 Step120 的303道历史错题，再匹配60道原答对题，共363题。原始模型分别回答原题闭卷、原题加教材、基础知识题闭卷、基础知识题加教材，每个条件重复3轮。教材检索不接收金答案，基础题仅在自动门禁通过的子集评测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诊断提示与历史正式评测不同，因此303道历史错题本轮闭卷答对6题并不矛盾。资料能帮助部分题目，也可能干扰原答对题；基础题的分母和难度均不同，不能直接与303题正确率相减。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2 复核资料质量并增加闭卷知识探针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363题中259题自动审核缺失或无效，不能据此判为教材不覆盖。后续复核8题，发现探针过浅、资料不充分、缺图、重复选项等问题。在获得定向补证的同4题上，闭卷及原教材均为0/4，补充已核对资料后为4/4，三轮一致；单加题型提示在8题上仍为0/8。[4]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  <w:spacing w:val="-3"/>
        </w:rPr>
        <w:t>对上述4个知识点再做定义、辨析、应用各1问，共12问、每问3轮。预先冻结的核心标准通过6/12，其中定义2/4、辨析3/4、应用1/4。这表明部分知识可以调用，但概念范围、术语对应和情景应用并不稳定。[5]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3 由探测结果确定优化方向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知识范围不完整的题目，应补充可靠来源与知识校准；定义可答、应用不稳的题目，应重点训练概念辨析和情景问答；资料或题面存在问题的样本，应先修复评测依据。上述小样本属于机制探测，不能外推为全部303题的根因比例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三 方案一 评测基准转语料开展CPT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目的与设计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为检验“把所需知识显式加入训练，是否就能提高得分”，我们将1672道评测题转成普通因果语言建模语料，并设置直接题面与改写题面两组。两组均从同一 Step120 权重独立初始化新优化器，各训练4遍、64步，再用冻结原题做三轮多数票评测。[6]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保留题干和正确答案正文，去除选项字母、索引及干扰项；改写组改写题干、保留正确答案。1625题通过自动改写门禁，47题回退到原题。历史判断题保留原命题并追加真假结论，并未全部转成纠正后的正向知识陈述，这是该次制数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+0.2392点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直接组21题改对、9题改错，净增12题；改写组10题改对、6题改错，净增4题。直接组的未校正配对检验 p=0.0428，改写组 p=0.4545。准确表述是“有小幅提升，但实用增益有限”，不能笼统写成两组均统计不显著。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训练发生了 为什么得分变化仍小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直接组第1至第4遍平均 loss 从3.8054降至2.1378，改写组从3.4648降至2.1423；训练和权重导出均通过校验。进一步只测答案位置，直接 CPT 在原训练块中的答案 NLL 从4.7873降到2.4873，但独立题面仅从2.8990降到2.6632，改善明显依赖上下文。[7]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书籍原文 CPT 的独立对照也呈现类似现象：增加至4遍后，书内 NLL 相对改善4.126%，但200道书内改写知识题仍为189/200；公开题三轮多数票仅从1369增至1371，提升0.1196个百分点。[8]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阶段结论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文本预测能力的改善没有充分转化为问答得分，支持进一步检查知识吸收方式、答案监督位置和实际调用过程。不过，小幅增益既可能包含写入不足，也可能包含利用不足；结合闭卷探针，不宜下“知识无缺失”的确定结论。更准确的表述是：模型已有较多领域知识，但知识边界与应用仍不稳定。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本方案训练接触了评测题及答案，结果仅用于受控同题诊断，不能作为独立泛化成绩或交付能力证明。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四 方案二 书籍转问答对进行SFT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color w:val="666666"/>
          <w:sz w:val="30"/>
        </w:rPr>
        <w:t>尚未开展训练  本节预留</w:t>
      </w:r>
    </w:p>
    <w:p>
      <w:pPr>
        <w:widowControl/>
        <w:spacing w:after="0" w:line="360" w:lineRule="auto" w:before="0"/>
        <w:jc w:val="both"/>
      </w:pPr>
    </w:p>
    <w:p>
      <w:pPr>
        <w:widowControl/>
        <w:spacing w:after="0" w:line="360" w:lineRule="auto" w:before="0"/>
        <w:jc w:val="both"/>
      </w:pPr>
    </w:p>
    <w:p>
      <w:pPr>
        <w:widowControl/>
        <w:spacing w:after="0" w:line="360" w:lineRule="auto" w:before="0"/>
        <w:jc w:val="both"/>
      </w:pP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五 方案三 原始模型对照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本方案保留未接受本轮 CPT 或 SFT 的原始 Step120，作为全部后续实验的共同起点。这里“原始”指8月25日完成开源数据续训的 Step120，并非完全未经后训练的原生开源模型；原生模型另列为背景参考。[1][2]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268"/>
        <w:gridCol w:w="2268"/>
        <w:gridCol w:w="1814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对照对象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LogistikaBench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SC-bench</w:t>
              <w:br/>
              <w:t>知识题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3E56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30"/>
              </w:rPr>
              <w:t>总体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原生Qwen3.6-27B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1175/1446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188/226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1363/1672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left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原始Step120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1180/1446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189/226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35" w:type="dxa"/>
              <w:bottom w:w="135" w:type="dxa"/>
              <w:left w:w="125" w:type="dxa"/>
              <w:right w:w="125" w:type="dxa"/>
            </w:tcMar>
          </w:tcPr>
          <w:p>
            <w:pPr>
              <w:keepNext w:val="0"/>
              <w:spacing w:after="0" w:line="360" w:lineRule="auto"/>
              <w:jc w:val="center"/>
            </w:pPr>
            <w:r>
              <w:rPr>
                <w:rFonts w:ascii="Times New Roman" w:hAnsi="Times New Roman" w:eastAsia="SimSun"/>
                <w:b w:val="0"/>
                <w:color w:val="202020"/>
                <w:sz w:val="30"/>
              </w:rPr>
              <w:t>1369/1672</w:t>
            </w:r>
          </w:p>
        </w:tc>
      </w:tr>
    </w:tbl>
    <w:p>
      <w:pPr>
        <w:widowControl/>
        <w:spacing w:before="0" w:line="360" w:lineRule="auto" w:after="120"/>
        <w:jc w:val="both"/>
      </w:pPr>
      <w:r>
        <w:rPr>
          <w:rFonts w:ascii="Times New Roman" w:hAnsi="Times New Roman" w:eastAsia="SimSun"/>
          <w:b w:val="0"/>
          <w:sz w:val="30"/>
        </w:rPr>
        <w:t>原始 Step120 的三轮多数票基线为81.878%。方案一的直接 CPT 和改写 CPT 分别对照这个基线计算增益。363题诊断、8题复核及12问闭卷探针也均使用原始 Step120，不使用已经接触评测答案的候选。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已完成的同题答案SFT仅作为辅助诊断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另一组已完成实验使用全部1672道原题、完整选项及正确答案 JSON，仅监督答案与结束标记。训练1遍和2遍后，总体同题成绩分别为93.18%和94.44%，对照原始 Step120 的81.88%，说明直接匹配作答目标的监督可以显著提高同题拟合。[9]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这组实验属于“评测题答案 SFT”，不是方案二的“独立书籍问答对 SFT”。它不能证明未见问题上的能力提升，也不能单独证明模型原先已拥有全部知识。方案二后续结果应与原始 Step120 在独立问题上比较。</w:t>
      </w:r>
    </w:p>
    <w:p>
      <w:pPr>
        <w:pStyle w:val="Heading2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32"/>
        </w:rPr>
        <w:t>当前可用于汇报的判断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现有 GRPO 训练在物流知识问答上的新增收益有限。CPT 能改变文本与答案概率，但本轮转换方式产生的问答提升较小；直接答案监督能提高同题拟合。结合无训练探测，下一阶段值得验证独立书籍问答监督能否改善概念辨析和情景应用，同时继续保留知识校准、输入质量及原 Agent 能力回归检查。</w:t>
      </w:r>
    </w:p>
    <w:p>
      <w:pPr>
        <w:widowControl/>
        <w:spacing w:after="0" w:line="360" w:lineRule="auto" w:before="0"/>
        <w:jc w:val="both"/>
      </w:pPr>
      <w:r>
        <w:rPr>
          <w:rFonts w:ascii="Times New Roman" w:hAnsi="Times New Roman" w:eastAsia="SimSun"/>
          <w:b w:val="0"/>
          <w:sz w:val="12"/>
        </w:rPr>
      </w:r>
    </w:p>
    <w:p>
      <w:pPr>
        <w:pStyle w:val="Heading1"/>
        <w:keepNext/>
        <w:widowControl/>
        <w:spacing w:line="360" w:lineRule="auto" w:before="240" w:after="120"/>
      </w:pPr>
      <w:r>
        <w:rPr>
          <w:rFonts w:eastAsia="SimHei" w:ascii="Times New Roman" w:hAnsi="Times New Roman"/>
          <w:b/>
          <w:sz w:val="40"/>
        </w:rPr>
        <w:t>附录 实验身份与证据索引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本报告对应2026年9月3日至7日物流知识实验。早期长程 Agent 实验中的同名 Step120、Qwen3.8 Step70／Step120 及其他沙箱奖励实验不并入本文分数。原生与Step120主比较采用同机同栈；不混用百炼 API 分数与本地模型归因。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[1] 模型身份与训练起点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docs/qwen36_step120_logistics_adaptation_decision_20260903.md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[2] 原生与Step120正式基线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docs/qwen36_step120_logistics_stage0_evaluation_20260903.md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[3] 363题四条件诊断协议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docs/step120_qa_diagnostic_20260907.md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[4] 363题复算及8题补证结果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docs/step120_evidence_review_20260907.md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[5] 4个知识点的12问闭卷诊断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docs/step120_closed_knowledge_20260907.md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[6] 直接与改写CPT结果及历史更正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  <w:spacing w:val="-3"/>
        </w:rPr>
        <w:t>docs/qwen36_step120_logistics_exam_cpt_direct_vs_rewritten_20260904.md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[7] 答案吸收与上下文依赖补测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docs/logistics_cpt_answer_learning_followup_20260905.md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[8] 单书2遍与4遍曝光对照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docs/qwen36_step120_logistics_cpt_exposure_curve_2x4x_20260904.md</w:t>
      </w:r>
    </w:p>
    <w:p>
      <w:pPr>
        <w:pStyle w:val="Heading2"/>
        <w:keepNext/>
        <w:widowControl/>
        <w:spacing w:before="240" w:after="120" w:line="360" w:lineRule="auto"/>
      </w:pPr>
      <w:r>
        <w:rPr>
          <w:rFonts w:eastAsia="SimHei" w:ascii="Times New Roman" w:hAnsi="Times New Roman"/>
          <w:b/>
          <w:sz w:val="32"/>
        </w:rPr>
        <w:t>[9] 同题答案SFT最终结果</w:t>
      </w:r>
    </w:p>
    <w:p>
      <w:pPr>
        <w:widowControl/>
        <w:spacing w:after="120" w:line="360" w:lineRule="auto" w:before="0"/>
        <w:jc w:val="left"/>
      </w:pPr>
      <w:r>
        <w:rPr>
          <w:rFonts w:ascii="Times New Roman" w:hAnsi="Times New Roman" w:eastAsia="SimSun"/>
          <w:b w:val="0"/>
          <w:color w:val="595959"/>
          <w:sz w:val="30"/>
        </w:rPr>
        <w:t>docs/logistics_mcq_fit_results_20260907.md</w:t>
      </w:r>
    </w:p>
    <w:p>
      <w:pPr>
        <w:widowControl/>
        <w:spacing w:line="360" w:lineRule="auto" w:before="0" w:after="120"/>
        <w:jc w:val="left"/>
      </w:pPr>
      <w:r>
        <w:rPr>
          <w:rFonts w:ascii="Times New Roman" w:hAnsi="Times New Roman" w:eastAsia="SimSun"/>
          <w:b w:val="0"/>
          <w:sz w:val="3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120"/>
        <w:jc w:val="both"/>
      </w:pPr>
      <w:r>
        <w:rPr>
          <w:rFonts w:ascii="Times New Roman" w:hAnsi="Times New Roman" w:eastAsia="SimSun"/>
          <w:b w:val="0"/>
          <w:sz w:val="30"/>
        </w:rPr>
        <w:t>本文仅保留聚合计数、方法和结论，不含评测题面、标准答案、书籍原文或模型逐条输出。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Times New Roman" w:hAnsi="Times New Roman"/>
        <w:color w:val="777777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