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pacing w:line="360" w:lineRule="auto" w:before="0" w:after="120"/>
      </w:pPr>
      <w:r>
        <w:rPr>
          <w:rFonts w:ascii="Times New Roman" w:hAnsi="Times New Roman" w:eastAsia="SimHei"/>
          <w:b/>
          <w:sz w:val="48"/>
        </w:rPr>
        <w:t>Step120物流知识能力诊断与优化实验</w:t>
      </w:r>
    </w:p>
    <w:p>
      <w:pPr>
        <w:pStyle w:val="Subtitle"/>
        <w:widowControl/>
        <w:spacing w:line="360" w:lineRule="auto" w:before="0" w:after="120"/>
      </w:pPr>
      <w:r>
        <w:rPr>
          <w:rFonts w:ascii="Times New Roman" w:hAnsi="Times New Roman" w:eastAsia="SimSun"/>
          <w:b w:val="0"/>
          <w:sz w:val="30"/>
        </w:rPr>
        <w:t>阶段报告  2026年9月7日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Step120 已完成既有 GRPO 训练，但在物流知识问答上与原生开源模型仍处于相近水平。我们围绕知识储备、知识吸收和问答利用开展了分层探测，并完成评测题语料 CPT 及原始模型对照。现有证据支持知识利用不足是重要问题，但不能排除局部知识范围和概念掌握不完整。</w:t>
      </w:r>
    </w:p>
    <w:p>
      <w:pPr>
        <w:pStyle w:val="Heading1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40"/>
        </w:rPr>
        <w:t>一 背景与问题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本报告的 Step120 指 2026年8月25日开源数据续训后的模型，实验标识为 llin-step120-opensource-20260825-02。按训练记录，该模型先接受100步垂域轨迹 GRPO，再完成20步开源数据更新；此前训练未专门引入本轮物流书籍知识。[1]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为检查垂域 Agent 训练是否同时带来物流知识收益，我们比较同机、同推理栈的原生 Qwen3.6-27B 与 Step120。结果均在80多分，差距不到半个百分点。[2]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8"/>
        <w:gridCol w:w="1984"/>
        <w:gridCol w:w="1984"/>
        <w:gridCol w:w="1984"/>
      </w:tblGrid>
      <w:tr>
        <w:trPr>
          <w:cantSplit/>
          <w:tblHeader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评测范围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原生模型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Step120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变化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LogistikaBench  1446题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81.26%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81.60%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+0.35点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SC-bench知识题  226题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83.19%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83.63%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+0.44点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/>
                <w:color w:val="202020"/>
                <w:sz w:val="30"/>
              </w:rPr>
              <w:t>合计  1672题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202020"/>
                <w:sz w:val="30"/>
              </w:rPr>
              <w:t>81.52%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202020"/>
                <w:sz w:val="30"/>
              </w:rPr>
              <w:t>81.88%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202020"/>
                <w:sz w:val="30"/>
              </w:rPr>
              <w:t>+0.36点</w:t>
            </w:r>
          </w:p>
        </w:tc>
      </w:tr>
    </w:tbl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color w:val="595959"/>
          <w:sz w:val="30"/>
        </w:rPr>
        <w:t>注：变化按未四舍五入的原始分数计算，单位为百分点。SC-bench 的100道工具题不在本表内。主比较采用相同 BF16 精度、温度0、关闭 thinking 和严格答案集合评分。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问题判断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这一结果说明，既有训练尚未形成明显的物流知识问答增益，垂域 Agent 优化没有自动转化为同等幅度的知识问答优势。Step120 共答对1369题，仍有303题答错；但仅凭总分不能判断这些错误究竟来自知识缺口、概念调用、情景应用，还是输入与评分问题。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本轮主比较净增6题，低于项目此前设定的物流知识提升3个百分点的实用门槛。以下实验用于拆解差距，不把“80多分”直接等同于“缺知识”。</w:t>
      </w:r>
    </w:p>
    <w:p>
      <w:pPr>
        <w:widowControl/>
        <w:spacing w:after="0" w:line="360" w:lineRule="auto" w:before="0"/>
        <w:jc w:val="both"/>
      </w:pPr>
      <w:r>
        <w:rPr>
          <w:rFonts w:ascii="Times New Roman" w:hAnsi="Times New Roman" w:eastAsia="SimSun"/>
          <w:b w:val="0"/>
          <w:sz w:val="12"/>
        </w:rPr>
      </w:r>
    </w:p>
    <w:p>
      <w:pPr>
        <w:pStyle w:val="Heading1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40"/>
        </w:rPr>
        <w:t>二 探测方法与优化思路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探测的目标是区分知识储备、知识调用与情景应用问题。先检查评测输入和评分是否可靠，再围绕同一知识点设置不同条件，观察模型在哪个环节恢复正确。探测方法在本节说明，实际无训练对照结果见实验三。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1 在同一模型上改变作答条件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以原始 Step120 的历史错题为主要样本，并匹配少量原答对题作对照。设置原题闭卷、原题加独立教材、相关基础知识题闭卷、基础知识题加教材四个条件，每个条件重复3轮。检索不接收金答案，基础题与资料充分性分别审核；未通过的样本不强行归因。[3]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2 用补证与开放问答核查知识边界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对有代表性的疑难案例核查资料是否真正足够、输入是否缺图或存在选项歧义。再对同一知识点设计定义、辨析、应用问答，检查模型能否在不提供资料和选项时主动表达并使用知识。定向补证与闭卷探针用于定位原因，不改写原正式成绩。[4][5]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3 根据证据选择优化方向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闭卷答错、加资料答对，提示知识补充或调用改善可能有效，但不能证明参数中完全没有知识；定义可答而应用不稳，应重点检查概念辨析、条件理解与情景映射；输入或标签有问题，应先核对评测依据。训练侧再用 CPT 与答案监督检查文本学习是否转化为问答表现，避免仅凭总分或训练 loss 判定根因。</w:t>
      </w:r>
    </w:p>
    <w:p>
      <w:pPr>
        <w:pStyle w:val="Heading1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40"/>
        </w:rPr>
        <w:t>三 方案一 评测基准转语料开展CPT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目的与设计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为检验“把所需知识显式加入训练，是否就能提高得分”，我们将1672道评测题转成普通因果语言建模语料，并设置直接题面与改写题面两组。两组均从同一 Step120 权重独立初始化新优化器，各训练4遍、64步，再用冻结原题做三轮多数票评测。[6]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直接组保留题干和正确答案正文，去除选项字母、索引及干扰项；改写组改写题干、保留正确答案。1625题通过自动改写门禁，47题回退到原题。历史判断题保留原命题并追加真假结论，并未全部转成纠正后的正向知识陈述，这是该次制数的限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2098"/>
        <w:gridCol w:w="1984"/>
        <w:gridCol w:w="2041"/>
      </w:tblGrid>
      <w:tr>
        <w:trPr>
          <w:cantSplit/>
          <w:tblHeader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模型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答对数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准确率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相对Step120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原始Step120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1369/1672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81.878%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—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直接题面CPT  4遍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1381/1672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82.596%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+0.7177点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改写题面CPT  4遍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1373/1672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82.117%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+0.2392点</w:t>
            </w:r>
          </w:p>
        </w:tc>
      </w:tr>
    </w:tbl>
    <w:p>
      <w:pPr>
        <w:widowControl/>
        <w:spacing w:before="0" w:line="360" w:lineRule="auto" w:after="120"/>
        <w:jc w:val="both"/>
      </w:pPr>
      <w:r>
        <w:rPr>
          <w:rFonts w:ascii="Times New Roman" w:hAnsi="Times New Roman" w:eastAsia="SimSun"/>
          <w:b w:val="0"/>
          <w:sz w:val="30"/>
        </w:rPr>
        <w:t>直接组21题改对、9题改错，净增12题；改写组10题改对、6题改错，净增4题。直接组的未校正配对检验 p=0.0428，改写组 p=0.4545。准确表述是“有小幅提升，但实用增益有限”，不能笼统写成两组均统计不显著。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训练发生了 为什么得分变化仍小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直接组第1至第4遍平均 loss 从3.8054降至2.1378，改写组从3.4648降至2.1423；训练和权重导出均通过校验。进一步只测答案位置，直接 CPT 在原训练块中的答案 NLL 从4.7873降到2.4873，但独立题面仅从2.8990降到2.6632，改善明显依赖上下文。[7]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书籍原文 CPT 的独立对照也呈现类似现象：增加至4遍后，书内 NLL 相对改善4.126%，但200道书内改写知识题仍为189/200；公开题三轮多数票仅从1369增至1371，提升0.1196个百分点。[8]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阶段结论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文本预测能力的改善没有充分转化为问答得分，支持进一步检查知识吸收方式、答案监督位置和实际调用过程。不过，小幅增益既可能包含写入不足，也可能包含利用不足；结合闭卷探针，不宜下“知识无缺失”的确定结论。更准确的表述是：模型已有较多领域知识，但知识边界与应用仍不稳定。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本方案训练接触了评测题及答案，结果仅用于受控同题诊断，不能作为独立泛化成绩或交付能力证明。</w:t>
      </w:r>
    </w:p>
    <w:p>
      <w:pPr>
        <w:widowControl/>
        <w:spacing w:after="0" w:line="360" w:lineRule="auto" w:before="0"/>
        <w:jc w:val="both"/>
      </w:pPr>
      <w:r>
        <w:rPr>
          <w:rFonts w:ascii="Times New Roman" w:hAnsi="Times New Roman" w:eastAsia="SimSun"/>
          <w:b w:val="0"/>
          <w:sz w:val="12"/>
        </w:rPr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补充诊断 同题答案SFT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另一组已完成实验使用全部1672道原题、完整选项及正确答案 JSON，仅监督答案与结束标记。训练1遍和2遍后，总体同题成绩分别为93.18%和94.44%，对照原始 Step120 的81.88%，说明直接匹配作答目标的监督可以显著提高同题拟合。[9]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这组实验属于“评测题答案 SFT”，不是方案二的“独立书籍问答对 SFT”。它不能证明未见问题上的能力提升，也不能单独证明模型原先已拥有全部知识。方案二后续结果应与原始 Step120 在独立问题上比较。</w:t>
      </w:r>
    </w:p>
    <w:p>
      <w:pPr>
        <w:pStyle w:val="Heading1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40"/>
        </w:rPr>
        <w:t>四 方案二 书籍转问答对进行SFT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color w:val="666666"/>
          <w:sz w:val="30"/>
        </w:rPr>
        <w:t>尚未开展训练  本节预留</w:t>
      </w:r>
    </w:p>
    <w:p>
      <w:pPr>
        <w:widowControl/>
        <w:spacing w:after="0" w:line="360" w:lineRule="auto" w:before="0"/>
        <w:jc w:val="both"/>
      </w:pPr>
    </w:p>
    <w:p>
      <w:pPr>
        <w:widowControl/>
        <w:spacing w:after="0" w:line="360" w:lineRule="auto" w:before="0"/>
        <w:jc w:val="both"/>
      </w:pPr>
    </w:p>
    <w:p>
      <w:pPr>
        <w:widowControl/>
        <w:spacing w:after="0" w:line="360" w:lineRule="auto" w:before="0"/>
        <w:jc w:val="both"/>
      </w:pPr>
    </w:p>
    <w:p>
      <w:pPr>
        <w:pStyle w:val="Heading1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40"/>
        </w:rPr>
        <w:t>五 实验三 原始Step120的无训练错题诊断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实验目的与模型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本实验回答“Step120 为什么答错”，不重复背景中的原生模型与 Step120 总分比较。固定未接受本轮评测题 CPT 或 SFT 的原始 Step120，仅改变题目呈现和参考资料，不更新参数。比较对象是同一模型在不同条件下的表现；此前接受评测题训练的候选不参与本轮诊断。[3]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1 四条件诊断结果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冻结303道历史错题，其中 LogistikaBench 266题、SC-bench知识题37题；另匹配60道原答对题，共363题。按第二部分的四条件协议分别运行3轮，以严格多数票计分。下表列出原题结果及历史错题中65道有效基础题的结果，分母分别保留。[3][4]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2268"/>
        <w:gridCol w:w="2268"/>
      </w:tblGrid>
      <w:tr>
        <w:trPr>
          <w:cantSplit/>
          <w:tblHeader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样本与条件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闭卷答对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加教材答对</w:t>
            </w:r>
          </w:p>
        </w:tc>
      </w:tr>
      <w:tr>
        <w:trPr>
          <w:cantSplit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历史错题  303题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6/303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58/303</w:t>
            </w:r>
          </w:p>
        </w:tc>
      </w:tr>
      <w:tr>
        <w:trPr>
          <w:cantSplit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原答对对照  60题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57/60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54/60</w:t>
            </w:r>
          </w:p>
        </w:tc>
      </w:tr>
      <w:tr>
        <w:trPr>
          <w:cantSplit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历史错题中的有效基础题  65题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59/65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64/65</w:t>
            </w:r>
          </w:p>
        </w:tc>
      </w:tr>
    </w:tbl>
    <w:p>
      <w:pPr>
        <w:widowControl/>
        <w:spacing w:before="0" w:line="360" w:lineRule="auto" w:after="120"/>
        <w:jc w:val="both"/>
      </w:pPr>
      <w:r>
        <w:rPr>
          <w:rFonts w:ascii="Times New Roman" w:hAnsi="Times New Roman" w:eastAsia="SimSun"/>
          <w:b w:val="0"/>
          <w:sz w:val="30"/>
        </w:rPr>
        <w:t>诊断提示与历史正式评测不同，因此303道历史错题本轮闭卷答对6题并不矛盾。资料能帮助部分题目，也可能干扰原答对题；基础题的分母和难度均不同，不能直接与303题正确率相减。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2 八题复核与四题补证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363题中259题自动审核缺失或无效，不能据此判为教材不覆盖。后续复核8题，发现探针过浅、资料不充分、缺图、重复选项等问题。在获得定向补证的同4题上，闭卷及原教材均为0/4，补充已核对资料后为4/4，三轮一致；单加题型提示在8题上仍为0/8。[4]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补证比较仅限同4题，并非全量错题或盲检索结果。补充资料是在看过金标签后按缺失概念定向核查的独立来源，不能据4/4外推到303题。该结果说明这4题的错误可由明确资料辅助纠正，不能单独区分原先缺知识还是调用困难。[4]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3 四个知识点的闭卷诊断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  <w:spacing w:val="-3"/>
        </w:rPr>
        <w:t>对上述4个知识点再做定义、辨析、应用各1问，共12问、每问3轮。预先冻结的核心标准通过6/12，其中定义2/4、辨析3/4、应用1/4。这表明部分知识可以调用，但概念范围、术语对应和情景应用并不稳定。[5]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每个知识点包含定义、辨析、应用各1问；12问仅涉及4个相关知识点，不是12个独立知识领域。每问至少2/3轮达到预先冻结的核心要点才记通过。主评分6/12不等于整段回答事实完全可靠；若同时否决已发现的附加事实错误，事后敏感性结果为5/12。[5]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实验结论与后续方向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无训练对照支持“部分知识可调用，但知识边界、术语对应与情景应用不稳定”的混合解释。它既不同于背景的得分比较，也不构成参数训练后的能力提升。结合方案一，下一步应使用独立书籍问答验证知识校准、概念辨析和应用监督的效果；不能把当前结果概括为“知识全部具备，只缺推理”。方案二的书籍问答 SFT 仍保留待实施状态。</w:t>
      </w:r>
    </w:p>
    <w:p>
      <w:pPr>
        <w:pStyle w:val="Heading1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40"/>
        </w:rPr>
        <w:t>附录 实验身份与证据索引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本报告对应2026年9月3日至7日物流知识实验。早期长程 Agent 实验中的同名 Step120、Qwen3.8 Step70／Step120 及其他沙箱奖励实验不并入本文分数。原生与Step120主比较采用同机同栈；不混用百炼 API 分数与本地模型归因。</w:t>
      </w:r>
    </w:p>
    <w:p>
      <w:pPr>
        <w:pStyle w:val="Heading2"/>
        <w:keepNext/>
        <w:widowControl/>
        <w:spacing w:before="240" w:after="120" w:line="360" w:lineRule="auto"/>
      </w:pPr>
      <w:r>
        <w:rPr>
          <w:rFonts w:eastAsia="SimHei" w:ascii="Times New Roman" w:hAnsi="Times New Roman"/>
          <w:b/>
          <w:sz w:val="32"/>
        </w:rPr>
        <w:t>[1] 模型身份与训练起点</w:t>
      </w:r>
    </w:p>
    <w:p>
      <w:pPr>
        <w:widowControl/>
        <w:spacing w:after="12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</w:rPr>
        <w:t>docs/qwen36_step120_logistics_adaptation_decision_20260903.md</w:t>
      </w:r>
    </w:p>
    <w:p>
      <w:pPr>
        <w:pStyle w:val="Heading2"/>
        <w:keepNext/>
        <w:widowControl/>
        <w:spacing w:before="240" w:after="120" w:line="360" w:lineRule="auto"/>
      </w:pPr>
      <w:r>
        <w:rPr>
          <w:rFonts w:eastAsia="SimHei" w:ascii="Times New Roman" w:hAnsi="Times New Roman"/>
          <w:b/>
          <w:sz w:val="32"/>
        </w:rPr>
        <w:t>[2] 原生与Step120正式基线</w:t>
      </w:r>
    </w:p>
    <w:p>
      <w:pPr>
        <w:widowControl/>
        <w:spacing w:after="12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</w:rPr>
        <w:t>docs/qwen36_step120_logistics_stage0_evaluation_20260903.md</w:t>
      </w:r>
    </w:p>
    <w:p>
      <w:pPr>
        <w:pStyle w:val="Heading2"/>
        <w:keepNext/>
        <w:widowControl/>
        <w:spacing w:before="240" w:after="120" w:line="360" w:lineRule="auto"/>
      </w:pPr>
      <w:r>
        <w:rPr>
          <w:rFonts w:eastAsia="SimHei" w:ascii="Times New Roman" w:hAnsi="Times New Roman"/>
          <w:b/>
          <w:sz w:val="32"/>
        </w:rPr>
        <w:t>[3] 363题四条件诊断协议</w:t>
      </w:r>
    </w:p>
    <w:p>
      <w:pPr>
        <w:widowControl/>
        <w:spacing w:after="12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</w:rPr>
        <w:t>docs/step120_qa_diagnostic_20260907.md</w:t>
      </w:r>
    </w:p>
    <w:p>
      <w:pPr>
        <w:pStyle w:val="Heading2"/>
        <w:keepNext/>
        <w:widowControl/>
        <w:spacing w:before="240" w:after="120" w:line="360" w:lineRule="auto"/>
      </w:pPr>
      <w:r>
        <w:rPr>
          <w:rFonts w:eastAsia="SimHei" w:ascii="Times New Roman" w:hAnsi="Times New Roman"/>
          <w:b/>
          <w:sz w:val="32"/>
        </w:rPr>
        <w:t>[4] 363题复算及8题补证结果</w:t>
      </w:r>
    </w:p>
    <w:p>
      <w:pPr>
        <w:widowControl/>
        <w:spacing w:after="12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</w:rPr>
        <w:t>docs/step120_evidence_review_20260907.md</w:t>
      </w:r>
    </w:p>
    <w:p>
      <w:pPr>
        <w:pStyle w:val="Heading2"/>
        <w:keepNext/>
        <w:widowControl/>
        <w:spacing w:before="240" w:after="120" w:line="360" w:lineRule="auto"/>
      </w:pPr>
      <w:r>
        <w:rPr>
          <w:rFonts w:eastAsia="SimHei" w:ascii="Times New Roman" w:hAnsi="Times New Roman"/>
          <w:b/>
          <w:sz w:val="32"/>
        </w:rPr>
        <w:t>[5] 4个知识点的12问闭卷诊断</w:t>
      </w:r>
    </w:p>
    <w:p>
      <w:pPr>
        <w:widowControl/>
        <w:spacing w:after="12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</w:rPr>
        <w:t>docs/step120_closed_knowledge_20260907.md</w:t>
      </w:r>
    </w:p>
    <w:p>
      <w:pPr>
        <w:pStyle w:val="Heading2"/>
        <w:keepNext/>
        <w:widowControl/>
        <w:spacing w:before="240" w:after="120" w:line="360" w:lineRule="auto"/>
      </w:pPr>
      <w:r>
        <w:rPr>
          <w:rFonts w:eastAsia="SimHei" w:ascii="Times New Roman" w:hAnsi="Times New Roman"/>
          <w:b/>
          <w:sz w:val="32"/>
        </w:rPr>
        <w:t>[6] 直接与改写CPT结果及历史更正</w:t>
      </w:r>
    </w:p>
    <w:p>
      <w:pPr>
        <w:widowControl/>
        <w:spacing w:after="12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  <w:spacing w:val="-3"/>
        </w:rPr>
        <w:t>docs/qwen36_step120_logistics_exam_cpt_direct_vs_rewritten_20260904.md</w:t>
      </w:r>
    </w:p>
    <w:p>
      <w:pPr>
        <w:pStyle w:val="Heading2"/>
        <w:keepNext/>
        <w:widowControl/>
        <w:spacing w:before="240" w:after="120" w:line="360" w:lineRule="auto"/>
      </w:pPr>
      <w:r>
        <w:rPr>
          <w:rFonts w:eastAsia="SimHei" w:ascii="Times New Roman" w:hAnsi="Times New Roman"/>
          <w:b/>
          <w:sz w:val="32"/>
        </w:rPr>
        <w:t>[7] 答案吸收与上下文依赖补测</w:t>
      </w:r>
    </w:p>
    <w:p>
      <w:pPr>
        <w:widowControl/>
        <w:spacing w:after="12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</w:rPr>
        <w:t>docs/logistics_cpt_answer_learning_followup_20260905.md</w:t>
      </w:r>
    </w:p>
    <w:p>
      <w:pPr>
        <w:pStyle w:val="Heading2"/>
        <w:keepNext/>
        <w:widowControl/>
        <w:spacing w:before="240" w:after="120" w:line="360" w:lineRule="auto"/>
      </w:pPr>
      <w:r>
        <w:rPr>
          <w:rFonts w:eastAsia="SimHei" w:ascii="Times New Roman" w:hAnsi="Times New Roman"/>
          <w:b/>
          <w:sz w:val="32"/>
        </w:rPr>
        <w:t>[8] 单书2遍与4遍曝光对照</w:t>
      </w:r>
    </w:p>
    <w:p>
      <w:pPr>
        <w:widowControl/>
        <w:spacing w:after="12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</w:rPr>
        <w:t>docs/qwen36_step120_logistics_cpt_exposure_curve_2x4x_20260904.md</w:t>
      </w:r>
    </w:p>
    <w:p>
      <w:pPr>
        <w:pStyle w:val="Heading2"/>
        <w:keepNext/>
        <w:widowControl/>
        <w:spacing w:before="240" w:after="120" w:line="360" w:lineRule="auto"/>
      </w:pPr>
      <w:r>
        <w:rPr>
          <w:rFonts w:eastAsia="SimHei" w:ascii="Times New Roman" w:hAnsi="Times New Roman"/>
          <w:b/>
          <w:sz w:val="32"/>
        </w:rPr>
        <w:t>[9] 同题答案SFT最终结果</w:t>
      </w:r>
    </w:p>
    <w:p>
      <w:pPr>
        <w:widowControl/>
        <w:spacing w:after="12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</w:rPr>
        <w:t>docs/logistics_mcq_fit_results_20260907.md</w:t>
      </w:r>
    </w:p>
    <w:p>
      <w:pPr>
        <w:widowControl/>
        <w:spacing w:line="360" w:lineRule="auto" w:before="0" w:after="120"/>
        <w:jc w:val="left"/>
      </w:pPr>
      <w:r>
        <w:rPr>
          <w:rFonts w:ascii="Times New Roman" w:hAnsi="Times New Roman" w:eastAsia="SimSun"/>
          <w:b w:val="0"/>
          <w:sz w:val="30"/>
        </w:rPr>
        <w:t>主要任务记录  CPT 工程实现-Step120垂域知识首训</w:t>
        <w:br/>
        <w:t>任务标识  01a05bea-47dd-7202-a358-81e8eb40e125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本文仅保留聚合计数、方法和结论，不含评测题面、标准答案、书籍原文或模型逐条输出。</w:t>
      </w:r>
    </w:p>
    <w:sectPr w:rsidR="00FC693F" w:rsidRPr="0006063C" w:rsidSect="00034616">
      <w:footerReference w:type="default" r:id="rId9"/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jc w:val="right"/>
    </w:pPr>
    <w:r>
      <w:rPr>
        <w:rFonts w:ascii="Times New Roman" w:hAnsi="Times New Roman"/>
        <w:color w:val="777777"/>
        <w:sz w:val="22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60" w:lineRule="auto"/>
    </w:pPr>
    <w:rPr>
      <w:rFonts w:ascii="Times New Roman" w:hAnsi="Times New Roman" w:eastAsia="SimSun"/>
      <w:b w:val="0"/>
      <w:color w:val="000000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360" w:lineRule="auto"/>
      <w:contextualSpacing/>
    </w:pPr>
    <w:rPr>
      <w:rFonts w:asciiTheme="majorHAnsi" w:eastAsiaTheme="majorEastAsia" w:hAnsiTheme="majorHAnsi" w:cstheme="majorBidi" w:ascii="Times New Roman" w:hAnsi="Times New Roman" w:eastAsia="Sim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360" w:lineRule="auto"/>
    </w:pPr>
    <w:rPr>
      <w:rFonts w:asciiTheme="majorHAnsi" w:eastAsiaTheme="majorEastAsia" w:hAnsiTheme="majorHAnsi" w:cstheme="majorBidi" w:ascii="Times New Roman" w:hAnsi="Times New Roman" w:eastAsia="SimSun"/>
      <w:b w:val="0"/>
      <w:i w:val="0"/>
      <w:iCs/>
      <w:color w:val="000000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Step120物流知识能力诊断与优化实验</dc:title>
  <dc:subject>物流知识评测 CPT 诊断及原始模型对照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