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97.35" w:lineRule="auto"/>
        <w:jc w:val="center"/>
        <w:rPr>
          <w:rFonts w:ascii="Times New Roman" w:cs="Times New Roman" w:eastAsia="Times New Roman" w:hAnsi="Times New Roman"/>
          <w:b w:val="1"/>
          <w:color w:val="006a89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48"/>
          <w:szCs w:val="48"/>
          <w:rtl w:val="0"/>
        </w:rPr>
        <w:t xml:space="preserve">Review of Tensorflow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60" w:before="240" w:line="397.42500000000007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bookmarkStart w:colFirst="0" w:colLast="0" w:name="_636pasqdi9c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pacing w:after="120" w:line="331.2" w:lineRule="auto"/>
        <w:rPr/>
      </w:pPr>
      <w:r w:rsidDel="00000000" w:rsidR="00000000" w:rsidRPr="00000000">
        <w:rPr>
          <w:rtl w:val="0"/>
        </w:rPr>
        <w:t xml:space="preserve">      With demand for machine learning dealing with big datasets increasing, although DistBelief, a distributed system for training neural networks,is adequate for users with simple requirements, more advanced users can’t be satisfied with it. Thus, the successor to DistBelief come out. </w:t>
      </w:r>
    </w:p>
    <w:p w:rsidR="00000000" w:rsidDel="00000000" w:rsidP="00000000" w:rsidRDefault="00000000" w:rsidRPr="00000000" w14:paraId="00000004">
      <w:pPr>
        <w:spacing w:after="120" w:line="331.2" w:lineRule="auto"/>
        <w:rPr/>
      </w:pPr>
      <w:r w:rsidDel="00000000" w:rsidR="00000000" w:rsidRPr="00000000">
        <w:rPr>
          <w:rtl w:val="0"/>
        </w:rPr>
        <w:t xml:space="preserve">     Tensorflow is a work in progress which is a machine learning system that operates at large-scale and in heterogeneous environments. TensorFlow uses dataflow graphs to represent computation, shared state, and the operations that mutate that state. </w:t>
      </w:r>
    </w:p>
    <w:p w:rsidR="00000000" w:rsidDel="00000000" w:rsidP="00000000" w:rsidRDefault="00000000" w:rsidRPr="00000000" w14:paraId="00000005">
      <w:pPr>
        <w:spacing w:after="120" w:line="331.2" w:lineRule="auto"/>
        <w:rPr/>
      </w:pPr>
      <w:r w:rsidDel="00000000" w:rsidR="00000000" w:rsidRPr="00000000">
        <w:rPr>
          <w:rtl w:val="0"/>
        </w:rPr>
        <w:t xml:space="preserve">      TensorFlow support both large-scale training and inference, meanwhile, it is flexible enough to support experimentation and research into new machine learning models and system-level  optimizations.</w:t>
      </w:r>
    </w:p>
    <w:p w:rsidR="00000000" w:rsidDel="00000000" w:rsidP="00000000" w:rsidRDefault="00000000" w:rsidRPr="00000000" w14:paraId="00000006">
      <w:pPr>
        <w:spacing w:after="120" w:line="397.35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Contributions</w:t>
      </w:r>
    </w:p>
    <w:p w:rsidR="00000000" w:rsidDel="00000000" w:rsidP="00000000" w:rsidRDefault="00000000" w:rsidRPr="00000000" w14:paraId="00000007">
      <w:pPr>
        <w:spacing w:after="1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 Flexibility: users can program with the same scripting interface that they use to define models.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mathematical operators: easier for users to compose novel layers, represent multiple state,enabling experiments with different update rules and algorithms.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Simplified distributed execution: automatic derivation, no need for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solving gradient through reverse propagation.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 Support Multiple Client Languages.</w:t>
      </w:r>
    </w:p>
    <w:p w:rsidR="00000000" w:rsidDel="00000000" w:rsidP="00000000" w:rsidRDefault="00000000" w:rsidRPr="00000000" w14:paraId="0000000B">
      <w:pPr>
        <w:spacing w:after="12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 Portable on several operating systems with over 200 standard operations.</w:t>
      </w:r>
    </w:p>
    <w:p w:rsidR="00000000" w:rsidDel="00000000" w:rsidP="00000000" w:rsidRDefault="00000000" w:rsidRPr="00000000" w14:paraId="0000000C">
      <w:pPr>
        <w:spacing w:line="397.35" w:lineRule="auto"/>
        <w:rPr>
          <w:rFonts w:ascii="Times New Roman" w:cs="Times New Roman" w:eastAsia="Times New Roman" w:hAnsi="Times New Roman"/>
          <w:b w:val="1"/>
          <w:color w:val="006a8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a89"/>
          <w:sz w:val="36"/>
          <w:szCs w:val="36"/>
          <w:rtl w:val="0"/>
        </w:rPr>
        <w:t xml:space="preserve">Comments</w:t>
      </w:r>
    </w:p>
    <w:p w:rsidR="00000000" w:rsidDel="00000000" w:rsidP="00000000" w:rsidRDefault="00000000" w:rsidRPr="00000000" w14:paraId="0000000D">
      <w:pPr>
        <w:spacing w:after="12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Flash points: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On system level, many algorithms are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developed for automatic placement, kernel fusion, memory management, and scheduling in TensorFlow. ②It has fast compilation speed and make full use of hardware resources.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line="331.2" w:lineRule="auto"/>
        <w:rPr/>
      </w:pPr>
      <w:r w:rsidDel="00000000" w:rsidR="00000000" w:rsidRPr="00000000">
        <w:rPr>
          <w:b w:val="1"/>
          <w:rtl w:val="0"/>
        </w:rPr>
        <w:t xml:space="preserve">Limitations: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TensorFlow has poor performance at small scales.②Tensorflow had not yet determined default policies that work well for all users.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