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9pc6w7ha04fw" w:id="0"/>
      <w:bookmarkEnd w:id="0"/>
      <w:r w:rsidDel="00000000" w:rsidR="00000000" w:rsidRPr="00000000">
        <w:rPr>
          <w:b w:val="1"/>
          <w:bCs w:val="1"/>
          <w:sz w:val="34"/>
          <w:szCs w:val="34"/>
          <w:rtl w:val="0"/>
        </w:rPr>
        <w:t xml:space="preserve">🏛️ Minerva University: A Long-Form Summary</w:t>
      </w:r>
    </w:p>
    <w:p w:rsidR="00000000" w:rsidDel="00000000" w:rsidP="00000000" w:rsidRDefault="00000000" w:rsidRPr="00000000" w14:paraId="00000002">
      <w:pPr>
        <w:spacing w:after="240" w:lineRule="auto"/>
        <w:rPr/>
      </w:pPr>
      <w:r w:rsidDel="00000000" w:rsidR="00000000" w:rsidRPr="00000000">
        <w:rPr>
          <w:rtl w:val="0"/>
        </w:rPr>
        <w:t xml:space="preserve">Minerva University is a private, non-profit, and highly selective institution established to fundamentally reform the undergraduate education experience. It operates on a revolutionary global rotation and active learning model, aiming to develop </w:t>
      </w:r>
      <w:r w:rsidDel="00000000" w:rsidR="00000000" w:rsidRPr="00000000">
        <w:rPr>
          <w:b w:val="1"/>
          <w:bCs w:val="1"/>
          <w:rtl w:val="0"/>
        </w:rPr>
        <w:t xml:space="preserve">critical wisdom</w:t>
      </w:r>
      <w:r w:rsidDel="00000000" w:rsidR="00000000" w:rsidRPr="00000000">
        <w:rPr>
          <w:rtl w:val="0"/>
        </w:rPr>
        <w:t xml:space="preserve"> and practical, transferable skills in its students.</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61vl4dbb2rfn" w:id="1"/>
      <w:bookmarkEnd w:id="1"/>
      <w:r w:rsidDel="00000000" w:rsidR="00000000" w:rsidRPr="00000000">
        <w:rPr>
          <w:b w:val="1"/>
          <w:bCs w:val="1"/>
          <w:color w:val="000000"/>
          <w:sz w:val="26"/>
          <w:szCs w:val="26"/>
          <w:rtl w:val="0"/>
        </w:rPr>
        <w:t xml:space="preserve">I. History and Foundation: The 'Minerva Project'</w:t>
      </w:r>
    </w:p>
    <w:p w:rsidR="00000000" w:rsidDel="00000000" w:rsidP="00000000" w:rsidRDefault="00000000" w:rsidRPr="00000000" w14:paraId="00000004">
      <w:pPr>
        <w:pStyle w:val="Heading4"/>
        <w:keepNext w:val="0"/>
        <w:keepLines w:val="0"/>
        <w:spacing w:after="40" w:before="0" w:lineRule="auto"/>
        <w:rPr>
          <w:b w:val="1"/>
          <w:bCs w:val="1"/>
          <w:color w:val="000000"/>
          <w:sz w:val="22"/>
          <w:szCs w:val="22"/>
        </w:rPr>
      </w:pPr>
      <w:bookmarkStart w:colFirst="0" w:colLast="0" w:name="_bq0hap4k9c1v" w:id="2"/>
      <w:bookmarkEnd w:id="2"/>
      <w:r w:rsidDel="00000000" w:rsidR="00000000" w:rsidRPr="00000000">
        <w:rPr>
          <w:b w:val="1"/>
          <w:bCs w:val="1"/>
          <w:color w:val="000000"/>
          <w:sz w:val="22"/>
          <w:szCs w:val="22"/>
          <w:rtl w:val="0"/>
        </w:rPr>
        <w:t xml:space="preserve">The Founder and the Critique</w:t>
      </w:r>
    </w:p>
    <w:p w:rsidR="00000000" w:rsidDel="00000000" w:rsidP="00000000" w:rsidRDefault="00000000" w:rsidRPr="00000000" w14:paraId="00000005">
      <w:pPr>
        <w:spacing w:after="240" w:lineRule="auto"/>
        <w:rPr/>
      </w:pPr>
      <w:r w:rsidDel="00000000" w:rsidR="00000000" w:rsidRPr="00000000">
        <w:rPr>
          <w:rtl w:val="0"/>
        </w:rPr>
        <w:t xml:space="preserve">The concept for Minerva was conceived by </w:t>
      </w:r>
      <w:r w:rsidDel="00000000" w:rsidR="00000000" w:rsidRPr="00000000">
        <w:rPr>
          <w:b w:val="1"/>
          <w:bCs w:val="1"/>
          <w:rtl w:val="0"/>
        </w:rPr>
        <w:t xml:space="preserve">Ben Nelson</w:t>
      </w:r>
      <w:r w:rsidDel="00000000" w:rsidR="00000000" w:rsidRPr="00000000">
        <w:rPr>
          <w:rtl w:val="0"/>
        </w:rPr>
        <w:t xml:space="preserve">, an American businessman and former CEO of the photo-sharing service Snapfish. His passion for educational reform was sparked during his time as a student at the University of Pennsylvania's Wharton School, where he authored a blueprint for curricular change that was largely ignored by the rigid system.</w:t>
      </w:r>
    </w:p>
    <w:p w:rsidR="00000000" w:rsidDel="00000000" w:rsidP="00000000" w:rsidRDefault="00000000" w:rsidRPr="00000000" w14:paraId="00000006">
      <w:pPr>
        <w:spacing w:after="240" w:lineRule="auto"/>
        <w:rPr/>
      </w:pPr>
      <w:r w:rsidDel="00000000" w:rsidR="00000000" w:rsidRPr="00000000">
        <w:rPr>
          <w:rtl w:val="0"/>
        </w:rPr>
        <w:t xml:space="preserve">Nelson’s foundational belief was that the traditional university model was fundamentally broken, characterized by:</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Passive Learning:</w:t>
      </w:r>
      <w:r w:rsidDel="00000000" w:rsidR="00000000" w:rsidRPr="00000000">
        <w:rPr>
          <w:rtl w:val="0"/>
        </w:rPr>
        <w:t xml:space="preserve"> Heavy reliance on lectures, which cognitive science shows is poor for long-term retention and skill transfer.</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b w:val="1"/>
          <w:bCs w:val="1"/>
          <w:rtl w:val="0"/>
        </w:rPr>
        <w:t xml:space="preserve">Institutional Inertia:</w:t>
      </w:r>
      <w:r w:rsidDel="00000000" w:rsidR="00000000" w:rsidRPr="00000000">
        <w:rPr>
          <w:rtl w:val="0"/>
        </w:rPr>
        <w:t xml:space="preserve"> Traditional tenure and large endowments that discourage innovation and focus resources on administrative overhead and research over undergraduate teaching.</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b w:val="1"/>
          <w:bCs w:val="1"/>
          <w:rtl w:val="0"/>
        </w:rPr>
        <w:t xml:space="preserve">Lack of Practicality:</w:t>
      </w:r>
      <w:r w:rsidDel="00000000" w:rsidR="00000000" w:rsidRPr="00000000">
        <w:rPr>
          <w:rtl w:val="0"/>
        </w:rPr>
        <w:t xml:space="preserve"> Failure to explicitly teach the practical, critical-thinking skills that employers and society truly need.</w:t>
      </w:r>
    </w:p>
    <w:p w:rsidR="00000000" w:rsidDel="00000000" w:rsidP="00000000" w:rsidRDefault="00000000" w:rsidRPr="00000000" w14:paraId="0000000A">
      <w:pPr>
        <w:numPr>
          <w:ilvl w:val="0"/>
          <w:numId w:val="2"/>
        </w:numPr>
        <w:spacing w:after="240" w:lineRule="auto"/>
        <w:ind w:left="720" w:hanging="360"/>
      </w:pPr>
      <w:r w:rsidDel="00000000" w:rsidR="00000000" w:rsidRPr="00000000">
        <w:rPr>
          <w:b w:val="1"/>
          <w:bCs w:val="1"/>
          <w:rtl w:val="0"/>
        </w:rPr>
        <w:t xml:space="preserve">Geographic Isolation:</w:t>
      </w:r>
      <w:r w:rsidDel="00000000" w:rsidR="00000000" w:rsidRPr="00000000">
        <w:rPr>
          <w:rtl w:val="0"/>
        </w:rPr>
        <w:t xml:space="preserve"> The "ivory tower" campus model that sequesters students from the complex, real-world issues of major urban centers.</w:t>
      </w:r>
    </w:p>
    <w:p w:rsidR="00000000" w:rsidDel="00000000" w:rsidP="00000000" w:rsidRDefault="00000000" w:rsidRPr="00000000" w14:paraId="0000000B">
      <w:pPr>
        <w:pStyle w:val="Heading4"/>
        <w:keepNext w:val="0"/>
        <w:keepLines w:val="0"/>
        <w:spacing w:after="40" w:before="0" w:lineRule="auto"/>
        <w:rPr>
          <w:b w:val="1"/>
          <w:bCs w:val="1"/>
          <w:color w:val="000000"/>
          <w:sz w:val="22"/>
          <w:szCs w:val="22"/>
        </w:rPr>
      </w:pPr>
      <w:bookmarkStart w:colFirst="0" w:colLast="0" w:name="_m2xz9cdzk8tv" w:id="3"/>
      <w:bookmarkEnd w:id="3"/>
      <w:r w:rsidDel="00000000" w:rsidR="00000000" w:rsidRPr="00000000">
        <w:rPr>
          <w:b w:val="1"/>
          <w:bCs w:val="1"/>
          <w:color w:val="000000"/>
          <w:sz w:val="22"/>
          <w:szCs w:val="22"/>
          <w:rtl w:val="0"/>
        </w:rPr>
        <w:t xml:space="preserve">Founding and Initial Incubation (2011–2014)</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b w:val="1"/>
          <w:bCs w:val="1"/>
          <w:rtl w:val="0"/>
        </w:rPr>
        <w:t xml:space="preserve">2011:</w:t>
      </w:r>
      <w:r w:rsidDel="00000000" w:rsidR="00000000" w:rsidRPr="00000000">
        <w:rPr>
          <w:rtl w:val="0"/>
        </w:rPr>
        <w:t xml:space="preserve"> Nelson founded the </w:t>
      </w:r>
      <w:r w:rsidDel="00000000" w:rsidR="00000000" w:rsidRPr="00000000">
        <w:rPr>
          <w:b w:val="1"/>
          <w:bCs w:val="1"/>
          <w:rtl w:val="0"/>
        </w:rPr>
        <w:t xml:space="preserve">Minerva Project</w:t>
      </w:r>
      <w:r w:rsidDel="00000000" w:rsidR="00000000" w:rsidRPr="00000000">
        <w:rPr>
          <w:rtl w:val="0"/>
        </w:rPr>
        <w:t xml:space="preserve"> (a for-profit entity) with the audacious goal of building "the best university in the world."</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b w:val="1"/>
          <w:bCs w:val="1"/>
          <w:rtl w:val="0"/>
        </w:rPr>
        <w:t xml:space="preserve">2012:</w:t>
      </w:r>
      <w:r w:rsidDel="00000000" w:rsidR="00000000" w:rsidRPr="00000000">
        <w:rPr>
          <w:rtl w:val="0"/>
        </w:rPr>
        <w:t xml:space="preserve"> Minerva Project received a significant </w:t>
      </w:r>
      <w:r w:rsidDel="00000000" w:rsidR="00000000" w:rsidRPr="00000000">
        <w:rPr>
          <w:b w:val="1"/>
          <w:bCs w:val="1"/>
          <w:rtl w:val="0"/>
        </w:rPr>
        <w:t xml:space="preserve">$25 million seed investment from Benchmark Capital</w:t>
      </w:r>
      <w:r w:rsidDel="00000000" w:rsidR="00000000" w:rsidRPr="00000000">
        <w:rPr>
          <w:rtl w:val="0"/>
        </w:rPr>
        <w:t xml:space="preserve">, the largest single seed investment the venture firm had ever made at the time.</w:t>
      </w:r>
    </w:p>
    <w:p w:rsidR="00000000" w:rsidDel="00000000" w:rsidP="00000000" w:rsidRDefault="00000000" w:rsidRPr="00000000" w14:paraId="0000000E">
      <w:pPr>
        <w:numPr>
          <w:ilvl w:val="0"/>
          <w:numId w:val="6"/>
        </w:numPr>
        <w:spacing w:after="0" w:afterAutospacing="0" w:lineRule="auto"/>
        <w:ind w:left="720" w:hanging="360"/>
      </w:pPr>
      <w:r w:rsidDel="00000000" w:rsidR="00000000" w:rsidRPr="00000000">
        <w:rPr>
          <w:b w:val="1"/>
          <w:bCs w:val="1"/>
          <w:rtl w:val="0"/>
        </w:rPr>
        <w:t xml:space="preserve">2013:</w:t>
      </w:r>
      <w:r w:rsidDel="00000000" w:rsidR="00000000" w:rsidRPr="00000000">
        <w:rPr>
          <w:rtl w:val="0"/>
        </w:rPr>
        <w:t xml:space="preserve"> They hired </w:t>
      </w:r>
      <w:r w:rsidDel="00000000" w:rsidR="00000000" w:rsidRPr="00000000">
        <w:rPr>
          <w:b w:val="1"/>
          <w:bCs w:val="1"/>
          <w:rtl w:val="0"/>
        </w:rPr>
        <w:t xml:space="preserve">Stephen M. Kosslyn</w:t>
      </w:r>
      <w:r w:rsidDel="00000000" w:rsidR="00000000" w:rsidRPr="00000000">
        <w:rPr>
          <w:rtl w:val="0"/>
        </w:rPr>
        <w:t xml:space="preserve">, a renowned cognitive scientist and former Dean of Social Sciences at Harvard, as the Founding Dean. Kosslyn was tasked with designing the curriculum entirely based on the science of learning.</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b w:val="1"/>
          <w:bCs w:val="1"/>
          <w:rtl w:val="0"/>
        </w:rPr>
        <w:t xml:space="preserve">Accreditation Strategy:</w:t>
      </w:r>
      <w:r w:rsidDel="00000000" w:rsidR="00000000" w:rsidRPr="00000000">
        <w:rPr>
          <w:rtl w:val="0"/>
        </w:rPr>
        <w:t xml:space="preserve"> To overcome the lengthy process of initial accreditation, Minerva established an alliance with the </w:t>
      </w:r>
      <w:r w:rsidDel="00000000" w:rsidR="00000000" w:rsidRPr="00000000">
        <w:rPr>
          <w:b w:val="1"/>
          <w:bCs w:val="1"/>
          <w:rtl w:val="0"/>
        </w:rPr>
        <w:t xml:space="preserve">Keck Graduate Institute (KGI)</w:t>
      </w:r>
      <w:r w:rsidDel="00000000" w:rsidR="00000000" w:rsidRPr="00000000">
        <w:rPr>
          <w:rtl w:val="0"/>
        </w:rPr>
        <w:t xml:space="preserve">, one of the Claremont Colleges in California. The program launched as the </w:t>
      </w:r>
      <w:r w:rsidDel="00000000" w:rsidR="00000000" w:rsidRPr="00000000">
        <w:rPr>
          <w:b w:val="1"/>
          <w:bCs w:val="1"/>
          <w:rtl w:val="0"/>
        </w:rPr>
        <w:t xml:space="preserve">Minerva Schools at KGI</w:t>
      </w:r>
      <w:r w:rsidDel="00000000" w:rsidR="00000000" w:rsidRPr="00000000">
        <w:rPr>
          <w:rtl w:val="0"/>
        </w:rPr>
        <w:t xml:space="preserve">, allowing it to operate under KGI's existing accreditation.</w:t>
      </w:r>
    </w:p>
    <w:p w:rsidR="00000000" w:rsidDel="00000000" w:rsidP="00000000" w:rsidRDefault="00000000" w:rsidRPr="00000000" w14:paraId="00000010">
      <w:pPr>
        <w:numPr>
          <w:ilvl w:val="0"/>
          <w:numId w:val="6"/>
        </w:numPr>
        <w:spacing w:after="240" w:lineRule="auto"/>
        <w:ind w:left="720" w:hanging="360"/>
      </w:pPr>
      <w:r w:rsidDel="00000000" w:rsidR="00000000" w:rsidRPr="00000000">
        <w:rPr>
          <w:b w:val="1"/>
          <w:bCs w:val="1"/>
          <w:rtl w:val="0"/>
        </w:rPr>
        <w:t xml:space="preserve">2014:</w:t>
      </w:r>
      <w:r w:rsidDel="00000000" w:rsidR="00000000" w:rsidRPr="00000000">
        <w:rPr>
          <w:rtl w:val="0"/>
        </w:rPr>
        <w:t xml:space="preserve"> The first class of Minerva students, a small and highly diverse group, was admitted. Its initial 2.8% acceptance rate made it immediately one of the most selective undergraduate programs in the world.</w:t>
      </w:r>
    </w:p>
    <w:p w:rsidR="00000000" w:rsidDel="00000000" w:rsidP="00000000" w:rsidRDefault="00000000" w:rsidRPr="00000000" w14:paraId="00000011">
      <w:pPr>
        <w:pStyle w:val="Heading4"/>
        <w:keepNext w:val="0"/>
        <w:keepLines w:val="0"/>
        <w:spacing w:after="40" w:before="0" w:lineRule="auto"/>
        <w:rPr>
          <w:b w:val="1"/>
          <w:bCs w:val="1"/>
          <w:color w:val="000000"/>
          <w:sz w:val="22"/>
          <w:szCs w:val="22"/>
        </w:rPr>
      </w:pPr>
      <w:bookmarkStart w:colFirst="0" w:colLast="0" w:name="_8wczgbbds4y9" w:id="4"/>
      <w:bookmarkEnd w:id="4"/>
      <w:r w:rsidDel="00000000" w:rsidR="00000000" w:rsidRPr="00000000">
        <w:rPr>
          <w:b w:val="1"/>
          <w:bCs w:val="1"/>
          <w:color w:val="000000"/>
          <w:sz w:val="22"/>
          <w:szCs w:val="22"/>
          <w:rtl w:val="0"/>
        </w:rPr>
        <w:t xml:space="preserve">Independence and Name Change (2021)</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b w:val="1"/>
          <w:bCs w:val="1"/>
          <w:rtl w:val="0"/>
        </w:rPr>
        <w:t xml:space="preserve">2021:</w:t>
      </w:r>
      <w:r w:rsidDel="00000000" w:rsidR="00000000" w:rsidRPr="00000000">
        <w:rPr>
          <w:rtl w:val="0"/>
        </w:rPr>
        <w:t xml:space="preserve"> The Minerva Institute for Research and Scholarship (a non-profit, tax-exempt entity) successfully completed the accreditation process separately from KGI. It was officially granted independent accreditation by the WASC Senior College and University Commission (WSCUC).</w:t>
      </w:r>
    </w:p>
    <w:p w:rsidR="00000000" w:rsidDel="00000000" w:rsidP="00000000" w:rsidRDefault="00000000" w:rsidRPr="00000000" w14:paraId="00000013">
      <w:pPr>
        <w:numPr>
          <w:ilvl w:val="0"/>
          <w:numId w:val="4"/>
        </w:numPr>
        <w:spacing w:after="240" w:lineRule="auto"/>
        <w:ind w:left="720" w:hanging="360"/>
      </w:pPr>
      <w:r w:rsidDel="00000000" w:rsidR="00000000" w:rsidRPr="00000000">
        <w:rPr>
          <w:b w:val="1"/>
          <w:bCs w:val="1"/>
          <w:rtl w:val="0"/>
        </w:rPr>
        <w:t xml:space="preserve">Name Change:</w:t>
      </w:r>
      <w:r w:rsidDel="00000000" w:rsidR="00000000" w:rsidRPr="00000000">
        <w:rPr>
          <w:rtl w:val="0"/>
        </w:rPr>
        <w:t xml:space="preserve"> Following its independent accreditation, the institution was formally renamed </w:t>
      </w:r>
      <w:r w:rsidDel="00000000" w:rsidR="00000000" w:rsidRPr="00000000">
        <w:rPr>
          <w:b w:val="1"/>
          <w:bCs w:val="1"/>
          <w:rtl w:val="0"/>
        </w:rPr>
        <w:t xml:space="preserve">Minerva University</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o8ujgd9gqjx0" w:id="5"/>
      <w:bookmarkEnd w:id="5"/>
      <w:r w:rsidDel="00000000" w:rsidR="00000000" w:rsidRPr="00000000">
        <w:rPr>
          <w:b w:val="1"/>
          <w:bCs w:val="1"/>
          <w:color w:val="000000"/>
          <w:sz w:val="26"/>
          <w:szCs w:val="26"/>
          <w:rtl w:val="0"/>
        </w:rPr>
        <w:t xml:space="preserve">II. The Foundational Pillars (The "Intentional" Design)</w:t>
      </w:r>
    </w:p>
    <w:p w:rsidR="00000000" w:rsidDel="00000000" w:rsidP="00000000" w:rsidRDefault="00000000" w:rsidRPr="00000000" w14:paraId="00000016">
      <w:pPr>
        <w:spacing w:after="240" w:lineRule="auto"/>
        <w:rPr/>
      </w:pPr>
      <w:r w:rsidDel="00000000" w:rsidR="00000000" w:rsidRPr="00000000">
        <w:rPr>
          <w:rtl w:val="0"/>
        </w:rPr>
        <w:t xml:space="preserve">Minerva's educational model is built on four interconnected pillars:</w:t>
      </w:r>
    </w:p>
    <w:p w:rsidR="00000000" w:rsidDel="00000000" w:rsidP="00000000" w:rsidRDefault="00000000" w:rsidRPr="00000000" w14:paraId="00000017">
      <w:pPr>
        <w:pStyle w:val="Heading4"/>
        <w:keepNext w:val="0"/>
        <w:keepLines w:val="0"/>
        <w:spacing w:after="40" w:before="0" w:lineRule="auto"/>
        <w:rPr>
          <w:b w:val="1"/>
          <w:bCs w:val="1"/>
          <w:color w:val="000000"/>
          <w:sz w:val="22"/>
          <w:szCs w:val="22"/>
        </w:rPr>
      </w:pPr>
      <w:bookmarkStart w:colFirst="0" w:colLast="0" w:name="_u8l5l84kev9t" w:id="6"/>
      <w:bookmarkEnd w:id="6"/>
      <w:r w:rsidDel="00000000" w:rsidR="00000000" w:rsidRPr="00000000">
        <w:rPr>
          <w:b w:val="1"/>
          <w:bCs w:val="1"/>
          <w:color w:val="000000"/>
          <w:sz w:val="22"/>
          <w:szCs w:val="22"/>
          <w:rtl w:val="0"/>
        </w:rPr>
        <w:t xml:space="preserve">1. First-Principles Curriculum: Habits of Mind and Foundational Concepts</w:t>
      </w:r>
    </w:p>
    <w:p w:rsidR="00000000" w:rsidDel="00000000" w:rsidP="00000000" w:rsidRDefault="00000000" w:rsidRPr="00000000" w14:paraId="00000018">
      <w:pPr>
        <w:spacing w:after="240" w:lineRule="auto"/>
        <w:rPr/>
      </w:pPr>
      <w:r w:rsidDel="00000000" w:rsidR="00000000" w:rsidRPr="00000000">
        <w:rPr>
          <w:rtl w:val="0"/>
        </w:rPr>
        <w:t xml:space="preserve">The curriculum does not focus on rote memorization of content (which is better done via preparatory work), but on </w:t>
      </w:r>
      <w:r w:rsidDel="00000000" w:rsidR="00000000" w:rsidRPr="00000000">
        <w:rPr>
          <w:b w:val="1"/>
          <w:bCs w:val="1"/>
          <w:rtl w:val="0"/>
        </w:rPr>
        <w:t xml:space="preserve">explicitly teaching and practicing cognitive skills</w:t>
      </w:r>
      <w:r w:rsidDel="00000000" w:rsidR="00000000" w:rsidRPr="00000000">
        <w:rPr>
          <w:rtl w:val="0"/>
        </w:rPr>
        <w:t xml:space="preserve">.</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b w:val="1"/>
          <w:bCs w:val="1"/>
          <w:rtl w:val="0"/>
        </w:rPr>
        <w:t xml:space="preserve">Habits of Mind (HoM):</w:t>
      </w:r>
      <w:r w:rsidDel="00000000" w:rsidR="00000000" w:rsidRPr="00000000">
        <w:rPr>
          <w:rtl w:val="0"/>
        </w:rPr>
        <w:t xml:space="preserve"> 100 domain-general cognitive skills (e.g., "Critical Thinking: Reasoning with Evidence," "Creative Thinking: Identifying Assumptions," "Effective Communication: Structuring an Argument") that are reinforced in every class, every week.</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b w:val="1"/>
          <w:bCs w:val="1"/>
          <w:rtl w:val="0"/>
        </w:rPr>
        <w:t xml:space="preserve">Foundational Concepts (FCs):</w:t>
      </w:r>
      <w:r w:rsidDel="00000000" w:rsidR="00000000" w:rsidRPr="00000000">
        <w:rPr>
          <w:rtl w:val="0"/>
        </w:rPr>
        <w:t xml:space="preserve"> Core concepts from various disciplines (e.g., Opportunity Cost from economics, Causality from philosophy) that are constantly applied across all majors.</w:t>
      </w:r>
    </w:p>
    <w:p w:rsidR="00000000" w:rsidDel="00000000" w:rsidP="00000000" w:rsidRDefault="00000000" w:rsidRPr="00000000" w14:paraId="0000001B">
      <w:pPr>
        <w:numPr>
          <w:ilvl w:val="0"/>
          <w:numId w:val="1"/>
        </w:numPr>
        <w:spacing w:after="240" w:lineRule="auto"/>
        <w:ind w:left="720" w:hanging="360"/>
      </w:pPr>
      <w:r w:rsidDel="00000000" w:rsidR="00000000" w:rsidRPr="00000000">
        <w:rPr>
          <w:b w:val="1"/>
          <w:bCs w:val="1"/>
          <w:rtl w:val="0"/>
        </w:rPr>
        <w:t xml:space="preserve">Cornerstone Courses:</w:t>
      </w:r>
      <w:r w:rsidDel="00000000" w:rsidR="00000000" w:rsidRPr="00000000">
        <w:rPr>
          <w:rtl w:val="0"/>
        </w:rPr>
        <w:t xml:space="preserve"> The first year is composed entirely of four year-long interdisciplinary courses (e.g., Formal Analyses, Complex Systems, Empirical Analyses) dedicated to establishing this foundation of HoMs and FCs.</w:t>
      </w:r>
    </w:p>
    <w:p w:rsidR="00000000" w:rsidDel="00000000" w:rsidP="00000000" w:rsidRDefault="00000000" w:rsidRPr="00000000" w14:paraId="0000001C">
      <w:pPr>
        <w:pStyle w:val="Heading4"/>
        <w:keepNext w:val="0"/>
        <w:keepLines w:val="0"/>
        <w:spacing w:after="40" w:before="0" w:lineRule="auto"/>
        <w:rPr>
          <w:b w:val="1"/>
          <w:bCs w:val="1"/>
          <w:color w:val="000000"/>
          <w:sz w:val="22"/>
          <w:szCs w:val="22"/>
        </w:rPr>
      </w:pPr>
      <w:bookmarkStart w:colFirst="0" w:colLast="0" w:name="_h8fbvkwwskma" w:id="7"/>
      <w:bookmarkEnd w:id="7"/>
      <w:r w:rsidDel="00000000" w:rsidR="00000000" w:rsidRPr="00000000">
        <w:rPr>
          <w:b w:val="1"/>
          <w:bCs w:val="1"/>
          <w:color w:val="000000"/>
          <w:sz w:val="22"/>
          <w:szCs w:val="22"/>
          <w:rtl w:val="0"/>
        </w:rPr>
        <w:t xml:space="preserve">2. Evidence-Based, Active Learning Pedagogy</w:t>
      </w:r>
    </w:p>
    <w:p w:rsidR="00000000" w:rsidDel="00000000" w:rsidP="00000000" w:rsidRDefault="00000000" w:rsidRPr="00000000" w14:paraId="0000001D">
      <w:pPr>
        <w:spacing w:after="240" w:lineRule="auto"/>
        <w:rPr/>
      </w:pPr>
      <w:r w:rsidDel="00000000" w:rsidR="00000000" w:rsidRPr="00000000">
        <w:rPr>
          <w:rtl w:val="0"/>
        </w:rPr>
        <w:t xml:space="preserve">All teaching is based on cognitive science principles to maximize comprehension, retention, and transferability of skills.</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b w:val="1"/>
          <w:bCs w:val="1"/>
          <w:rtl w:val="0"/>
        </w:rPr>
        <w:t xml:space="preserve">Flipped Classroom:</w:t>
      </w:r>
      <w:r w:rsidDel="00000000" w:rsidR="00000000" w:rsidRPr="00000000">
        <w:rPr>
          <w:rtl w:val="0"/>
        </w:rPr>
        <w:t xml:space="preserve"> Students complete readings and pre-work </w:t>
      </w:r>
      <w:r w:rsidDel="00000000" w:rsidR="00000000" w:rsidRPr="00000000">
        <w:rPr>
          <w:i w:val="1"/>
          <w:iCs w:val="1"/>
          <w:rtl w:val="0"/>
        </w:rPr>
        <w:t xml:space="preserve">before</w:t>
      </w:r>
      <w:r w:rsidDel="00000000" w:rsidR="00000000" w:rsidRPr="00000000">
        <w:rPr>
          <w:rtl w:val="0"/>
        </w:rPr>
        <w:t xml:space="preserve"> class to acquire basic information.</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bCs w:val="1"/>
          <w:rtl w:val="0"/>
        </w:rPr>
        <w:t xml:space="preserve">The Minerva Forum™:</w:t>
      </w:r>
      <w:r w:rsidDel="00000000" w:rsidR="00000000" w:rsidRPr="00000000">
        <w:rPr>
          <w:rtl w:val="0"/>
        </w:rPr>
        <w:t xml:space="preserve"> All classes are conducted as </w:t>
      </w:r>
      <w:r w:rsidDel="00000000" w:rsidR="00000000" w:rsidRPr="00000000">
        <w:rPr>
          <w:b w:val="1"/>
          <w:bCs w:val="1"/>
          <w:rtl w:val="0"/>
        </w:rPr>
        <w:t xml:space="preserve">live, virtual, synchronous seminars</w:t>
      </w:r>
      <w:r w:rsidDel="00000000" w:rsidR="00000000" w:rsidRPr="00000000">
        <w:rPr>
          <w:rtl w:val="0"/>
        </w:rPr>
        <w:t xml:space="preserve"> on a proprietary online platform. This platform is designed to force active participation and discussion, with every student visible and accountable, and with tools for polling, breakout groups, and real-time feedback.</w:t>
      </w:r>
    </w:p>
    <w:p w:rsidR="00000000" w:rsidDel="00000000" w:rsidP="00000000" w:rsidRDefault="00000000" w:rsidRPr="00000000" w14:paraId="00000020">
      <w:pPr>
        <w:numPr>
          <w:ilvl w:val="0"/>
          <w:numId w:val="3"/>
        </w:numPr>
        <w:spacing w:after="240" w:lineRule="auto"/>
        <w:ind w:left="720" w:hanging="360"/>
      </w:pPr>
      <w:r w:rsidDel="00000000" w:rsidR="00000000" w:rsidRPr="00000000">
        <w:rPr>
          <w:b w:val="1"/>
          <w:bCs w:val="1"/>
          <w:rtl w:val="0"/>
        </w:rPr>
        <w:t xml:space="preserve">No Lectures:</w:t>
      </w:r>
      <w:r w:rsidDel="00000000" w:rsidR="00000000" w:rsidRPr="00000000">
        <w:rPr>
          <w:rtl w:val="0"/>
        </w:rPr>
        <w:t xml:space="preserve"> Professors are highly trained facilitators, and lectures are prohibited. The entire class time is dedicated to high-engagement activities like debates, role-playing, and problem-solving.</w:t>
      </w:r>
    </w:p>
    <w:p w:rsidR="00000000" w:rsidDel="00000000" w:rsidP="00000000" w:rsidRDefault="00000000" w:rsidRPr="00000000" w14:paraId="00000021">
      <w:pPr>
        <w:pStyle w:val="Heading4"/>
        <w:keepNext w:val="0"/>
        <w:keepLines w:val="0"/>
        <w:spacing w:after="40" w:before="0" w:lineRule="auto"/>
        <w:rPr>
          <w:b w:val="1"/>
          <w:bCs w:val="1"/>
          <w:color w:val="000000"/>
          <w:sz w:val="22"/>
          <w:szCs w:val="22"/>
        </w:rPr>
      </w:pPr>
      <w:bookmarkStart w:colFirst="0" w:colLast="0" w:name="_tdbxqy8v0725" w:id="8"/>
      <w:bookmarkEnd w:id="8"/>
      <w:r w:rsidDel="00000000" w:rsidR="00000000" w:rsidRPr="00000000">
        <w:rPr>
          <w:b w:val="1"/>
          <w:bCs w:val="1"/>
          <w:color w:val="000000"/>
          <w:sz w:val="22"/>
          <w:szCs w:val="22"/>
          <w:rtl w:val="0"/>
        </w:rPr>
        <w:t xml:space="preserve">3. Global Rotation and Immersive Experience</w:t>
      </w:r>
    </w:p>
    <w:p w:rsidR="00000000" w:rsidDel="00000000" w:rsidP="00000000" w:rsidRDefault="00000000" w:rsidRPr="00000000" w14:paraId="00000022">
      <w:pPr>
        <w:spacing w:after="240" w:lineRule="auto"/>
        <w:rPr/>
      </w:pPr>
      <w:r w:rsidDel="00000000" w:rsidR="00000000" w:rsidRPr="00000000">
        <w:rPr>
          <w:rtl w:val="0"/>
        </w:rPr>
        <w:t xml:space="preserve">Minerva has no traditional physical campus or expensive facilities like stadiums or lecture halls.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7.4834437086092"/>
        <w:gridCol w:w="2350.728476821192"/>
        <w:gridCol w:w="2808.4768211920527"/>
        <w:gridCol w:w="3223.3112582781455"/>
        <w:tblGridChange w:id="0">
          <w:tblGrid>
            <w:gridCol w:w="977.4834437086092"/>
            <w:gridCol w:w="2350.728476821192"/>
            <w:gridCol w:w="2808.4768211920527"/>
            <w:gridCol w:w="3223.3112582781455"/>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Year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Format</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Locations (Examples)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Focus</w:t>
            </w:r>
            <w:r w:rsidDel="00000000" w:rsidR="00000000" w:rsidRPr="00000000">
              <w:rPr>
                <w:rtl w:val="0"/>
              </w:rPr>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Year 1</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Residential</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San Francisco</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Foundational Core Curriculum</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Years 2-4</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Residential, one new city per semester</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Seoul, Berlin, Buenos Aires, Hyderabad, Taipei, etc.</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Major/Concentration coursework, Civic Projects</w:t>
            </w:r>
          </w:p>
        </w:tc>
      </w:tr>
    </w:tbl>
    <w:p w:rsidR="00000000" w:rsidDel="00000000" w:rsidP="00000000" w:rsidRDefault="00000000" w:rsidRPr="00000000" w14:paraId="0000002F">
      <w:pPr>
        <w:numPr>
          <w:ilvl w:val="0"/>
          <w:numId w:val="5"/>
        </w:numPr>
        <w:spacing w:after="0" w:afterAutospacing="0" w:lineRule="auto"/>
        <w:ind w:left="720" w:hanging="360"/>
      </w:pPr>
      <w:r w:rsidDel="00000000" w:rsidR="00000000" w:rsidRPr="00000000">
        <w:rPr>
          <w:rtl w:val="0"/>
        </w:rPr>
        <w:br w:type="textWrapping"/>
      </w:r>
      <w:r w:rsidDel="00000000" w:rsidR="00000000" w:rsidRPr="00000000">
        <w:rPr>
          <w:b w:val="1"/>
          <w:bCs w:val="1"/>
          <w:rtl w:val="0"/>
        </w:rPr>
        <w:t xml:space="preserve">Learning by Doing:</w:t>
      </w:r>
      <w:r w:rsidDel="00000000" w:rsidR="00000000" w:rsidRPr="00000000">
        <w:rPr>
          <w:rtl w:val="0"/>
        </w:rPr>
        <w:t xml:space="preserve"> Courses often integrate with the local environment, with projects and assignments requiring students to engage directly with the cultural, political, and economic challenges of each city (e.g., working with a local NGO in Berlin or analyzing urban systems in Buenos Aires).</w:t>
      </w:r>
    </w:p>
    <w:p w:rsidR="00000000" w:rsidDel="00000000" w:rsidP="00000000" w:rsidRDefault="00000000" w:rsidRPr="00000000" w14:paraId="00000030">
      <w:pPr>
        <w:numPr>
          <w:ilvl w:val="0"/>
          <w:numId w:val="5"/>
        </w:numPr>
        <w:spacing w:after="240" w:lineRule="auto"/>
        <w:ind w:left="720" w:hanging="360"/>
      </w:pPr>
      <w:r w:rsidDel="00000000" w:rsidR="00000000" w:rsidRPr="00000000">
        <w:rPr>
          <w:b w:val="1"/>
          <w:bCs w:val="1"/>
          <w:rtl w:val="0"/>
        </w:rPr>
        <w:t xml:space="preserve">Diverse Cohort:</w:t>
      </w:r>
      <w:r w:rsidDel="00000000" w:rsidR="00000000" w:rsidRPr="00000000">
        <w:rPr>
          <w:rtl w:val="0"/>
        </w:rPr>
        <w:t xml:space="preserve"> Students from over 100 countries live together in residence halls, fostering unmatched cultural competency.</w:t>
      </w:r>
    </w:p>
    <w:p w:rsidR="00000000" w:rsidDel="00000000" w:rsidP="00000000" w:rsidRDefault="00000000" w:rsidRPr="00000000" w14:paraId="00000031">
      <w:pPr>
        <w:pStyle w:val="Heading4"/>
        <w:keepNext w:val="0"/>
        <w:keepLines w:val="0"/>
        <w:spacing w:after="40" w:before="0" w:lineRule="auto"/>
        <w:rPr>
          <w:b w:val="1"/>
          <w:bCs w:val="1"/>
          <w:color w:val="000000"/>
          <w:sz w:val="22"/>
          <w:szCs w:val="22"/>
        </w:rPr>
      </w:pPr>
      <w:bookmarkStart w:colFirst="0" w:colLast="0" w:name="_b2qwik2lx21o" w:id="9"/>
      <w:bookmarkEnd w:id="9"/>
      <w:r w:rsidDel="00000000" w:rsidR="00000000" w:rsidRPr="00000000">
        <w:rPr>
          <w:b w:val="1"/>
          <w:bCs w:val="1"/>
          <w:color w:val="000000"/>
          <w:sz w:val="22"/>
          <w:szCs w:val="22"/>
          <w:rtl w:val="0"/>
        </w:rPr>
        <w:t xml:space="preserve">4. Outcomes-Driven Assessment</w:t>
      </w:r>
    </w:p>
    <w:p w:rsidR="00000000" w:rsidDel="00000000" w:rsidP="00000000" w:rsidRDefault="00000000" w:rsidRPr="00000000" w14:paraId="00000032">
      <w:pPr>
        <w:spacing w:after="240" w:lineRule="auto"/>
        <w:rPr/>
      </w:pPr>
      <w:r w:rsidDel="00000000" w:rsidR="00000000" w:rsidRPr="00000000">
        <w:rPr>
          <w:rtl w:val="0"/>
        </w:rPr>
        <w:t xml:space="preserve">Assessment focuses on the mastery of the Habits of Mind and Foundational Concepts rather than just memorizing content. Students receive continuous, granular feedback on their performance in the classroom and on their applied projects.</w:t>
      </w:r>
    </w:p>
    <w:p w:rsidR="00000000" w:rsidDel="00000000" w:rsidP="00000000" w:rsidRDefault="00000000" w:rsidRPr="00000000" w14:paraId="00000033">
      <w:pPr>
        <w:spacing w:after="240" w:lineRule="auto"/>
        <w:rPr/>
      </w:pPr>
      <w:r w:rsidDel="00000000" w:rsidR="00000000" w:rsidRPr="00000000">
        <w:rPr>
          <w:rtl w:val="0"/>
        </w:rPr>
        <w:t xml:space="preserve">In summary, Minerva was founded as a direct challenge to the antiquated system of higher education, replacing the </w:t>
      </w:r>
      <w:r w:rsidDel="00000000" w:rsidR="00000000" w:rsidRPr="00000000">
        <w:rPr>
          <w:b w:val="1"/>
          <w:bCs w:val="1"/>
          <w:rtl w:val="0"/>
        </w:rPr>
        <w:t xml:space="preserve">physical campus and passive lecture</w:t>
      </w:r>
      <w:r w:rsidDel="00000000" w:rsidR="00000000" w:rsidRPr="00000000">
        <w:rPr>
          <w:rtl w:val="0"/>
        </w:rPr>
        <w:t xml:space="preserve"> with a model centered on </w:t>
      </w:r>
      <w:r w:rsidDel="00000000" w:rsidR="00000000" w:rsidRPr="00000000">
        <w:rPr>
          <w:b w:val="1"/>
          <w:bCs w:val="1"/>
          <w:rtl w:val="0"/>
        </w:rPr>
        <w:t xml:space="preserve">cognitive science and global immersion</w:t>
      </w:r>
      <w:r w:rsidDel="00000000" w:rsidR="00000000" w:rsidRPr="00000000">
        <w:rPr>
          <w:rtl w:val="0"/>
        </w:rPr>
        <w:t xml:space="preserve"> to produce highly skilled, adaptable, and critically thinking global citizens.</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