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36"/>
          <w:szCs w:val="36"/>
        </w:rPr>
        <w:t xml:space="preserve">Chapter 5 — supporting files</w:t>
      </w:r>
    </w:p>
    <w:p>
      <w:pPr>
        <w:spacing w:after="100"/>
      </w:pPr>
      <w:r>
        <w:rPr>
          <w:i/>
          <w:iCs/>
          <w:color w:val="44454A"/>
          <w:sz w:val="22"/>
          <w:szCs w:val="22"/>
        </w:rPr>
        <w:t xml:space="preserve">Build Once, Answer Many: Where Disclosure Demand Converges for European Seafood-Processing SMEs</w:t>
      </w:r>
    </w:p>
    <w:p>
      <w:pPr>
        <w:pBdr>
          <w:bottom w:val="single" w:color="1F4E79" w:sz="10" w:space="8"/>
        </w:pBdr>
        <w:spacing w:after="320"/>
      </w:pPr>
      <w:r>
        <w:rPr>
          <w:color w:val="6B7280"/>
          <w:sz w:val="19"/>
          <w:szCs w:val="19"/>
        </w:rPr>
        <w:t xml:space="preserve">Linne Verhoeven   ·   EPFL, August 2026</w:t>
      </w:r>
    </w:p>
    <w:p>
      <w:pPr>
        <w:spacing w:after="130"/>
      </w:pPr>
      <w:r>
        <w:rPr>
          <w:sz w:val="21"/>
          <w:szCs w:val="21"/>
        </w:rPr>
        <w:t xml:space="preserve">Chapter 5 of the attached draft begins on page 28. Everything reported in that chapter derives from the two accompanying files, which form a single chain:</w:t>
      </w:r>
    </w:p>
    <w:tbl>
      <w:tblPr>
        <w:tblW w:type="dxa" w:w="9360"/>
        <w:tblBorders>
          <w:top w:val="single" w:color="DCE1E8" w:sz="4"/>
          <w:left w:val="single" w:color="DCE1E8" w:sz="4"/>
          <w:bottom w:val="single" w:color="DCE1E8" w:sz="4"/>
          <w:right w:val="single" w:color="DCE1E8" w:sz="4"/>
          <w:insideH w:val="single" w:color="DCE1E8" w:sz="4"/>
          <w:insideV w:val="single" w:color="DCE1E8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9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ESRS_Coverage_Analytics_v7.ipynb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Builds the coverage matrix from the coded reports</w:t>
            </w:r>
          </w:p>
        </w:tc>
      </w:tr>
      <w:tr>
        <w:tc>
          <w:tcPr>
            <w:tcW w:type="dxa" w:w="340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ESRS_Coverage_Results.xlsx</w:t>
            </w:r>
          </w:p>
        </w:tc>
        <w:tc>
          <w:tcPr>
            <w:tcW w:type="dxa" w:w="596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results as they appear in Chapter 5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 </w:t>
      </w:r>
    </w:p>
    <w:p>
      <w:pPr>
        <w:spacing w:after="130"/>
      </w:pPr>
      <w:r>
        <w:rPr>
          <w:sz w:val="21"/>
          <w:szCs w:val="21"/>
        </w:rPr>
        <w:t xml:space="preserve">The underlying per-firm coding workbook is available on request.</w:t>
      </w:r>
    </w:p>
    <w:p>
      <w:pPr>
        <w:pStyle w:val="Heading1"/>
      </w:pPr>
      <w:r>
        <w:t xml:space="preserve">The results file</w:t>
      </w:r>
    </w:p>
    <w:p>
      <w:pPr>
        <w:spacing w:after="130"/>
      </w:pPr>
      <w:r>
        <w:rPr>
          <w:sz w:val="21"/>
          <w:szCs w:val="21"/>
        </w:rPr>
        <w:t xml:space="preserve">ESRS_Coverage_Results.xlsx opens on a README sheet describing all eleven tabs. The headline coverage rates, reproduced in Table 1 of Chapter 5, are as follows.</w:t>
      </w:r>
    </w:p>
    <w:tbl>
      <w:tblPr>
        <w:tblW w:type="dxa" w:w="9360"/>
        <w:tblBorders>
          <w:top w:val="single" w:color="DCE1E8" w:sz="4"/>
          <w:left w:val="single" w:color="DCE1E8" w:sz="4"/>
          <w:bottom w:val="single" w:color="DCE1E8" w:sz="4"/>
          <w:right w:val="single" w:color="DCE1E8" w:sz="4"/>
          <w:insideH w:val="single" w:color="DCE1E8" w:sz="4"/>
          <w:insideV w:val="single" w:color="DCE1E8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43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Disclosure requirements reported (of 70)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Thai Union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53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75.7%</w:t>
            </w:r>
          </w:p>
        </w:tc>
      </w:tr>
      <w:tr>
        <w:tc>
          <w:tcPr>
            <w:tcW w:type="dxa" w:w="300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Bolton</w:t>
            </w:r>
          </w:p>
        </w:tc>
        <w:tc>
          <w:tcPr>
            <w:tcW w:type="dxa" w:w="436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200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64.3%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Nomad Foods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60.0%</w:t>
            </w:r>
          </w:p>
        </w:tc>
      </w:tr>
      <w:tr>
        <w:tc>
          <w:tcPr>
            <w:tcW w:type="dxa" w:w="300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Profand</w:t>
            </w:r>
          </w:p>
        </w:tc>
        <w:tc>
          <w:tcPr>
            <w:tcW w:type="dxa" w:w="436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200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55.7%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Espersen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48.6%</w:t>
            </w:r>
          </w:p>
        </w:tc>
      </w:tr>
      <w:tr>
        <w:tc>
          <w:tcPr>
            <w:tcW w:type="dxa" w:w="300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Mowi</w:t>
            </w:r>
          </w:p>
        </w:tc>
        <w:tc>
          <w:tcPr>
            <w:tcW w:type="dxa" w:w="436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200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47.1%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 </w:t>
      </w:r>
    </w:p>
    <w:p>
      <w:pPr>
        <w:spacing w:after="130"/>
      </w:pPr>
      <w:r>
        <w:rPr>
          <w:sz w:val="21"/>
          <w:szCs w:val="21"/>
        </w:rPr>
        <w:t xml:space="preserve">Thirteen disclosure requirements are reported by all six firms. This set forms the universal core discussed in the chapter.</w:t>
      </w:r>
    </w:p>
    <w:p>
      <w:pPr>
        <w:pStyle w:val="Heading1"/>
      </w:pPr>
      <w:r>
        <w:t xml:space="preserve">The notebook</w:t>
      </w:r>
    </w:p>
    <w:p>
      <w:pPr>
        <w:spacing w:after="130"/>
      </w:pPr>
      <w:r>
        <w:rPr>
          <w:sz w:val="21"/>
          <w:szCs w:val="21"/>
        </w:rPr>
        <w:t xml:space="preserve">ESRS_Coverage_Analytics_v7.ipynb is written for Google Colab and runs in seventeen cells. All outputs are saved within the file, so every chart and table can be read without executing anything.</w:t>
      </w:r>
    </w:p>
    <w:p>
      <w:pPr>
        <w:pStyle w:val="Heading1"/>
      </w:pPr>
      <w:r>
        <w:t xml:space="preserve">What the analysis does and does not claim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It measures ESRS-aligned coverage in practice, coded from published reports. It is not an assessment of legal ESRS compliance.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Coverage is recorded as binary presence at requirement level. It therefore measures breadth, not depth, quality or assurance: a topic addressed in a single sentence and one addressed exhaustively both score equally.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The six firms were selected purposively as the sector's most advanced reporters, not as a representative sample. Nothing here describes typical practice.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lower coverage figure may reflect a different production system, reporting framework or reporting year rather than weaker sustainability performance. No ranking of the six firms is intended.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Three firms report under the ESRS and three under the GRI Standards. The GRI disclosures were bridged onto the ESRS structure using the GRI-EFRAG interoperability mapping. That bridge rests on analyst judgement, which is the principal reason your review is valuable.</w:t>
      </w:r>
    </w:p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spacing w:after="130"/>
      </w:pPr>
      <w:r>
        <w:rPr>
          <w:color w:val="6B7280"/>
          <w:sz w:val="19"/>
          <w:szCs w:val="19"/>
        </w:rPr>
        <w:t xml:space="preserve">Questions, or a request for the full set of underlying workbooks: linne.verhoeven@gmail.com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60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2026-08-03T06:19:12.712Z</dcterms:created>
  <dcterms:modified xsi:type="dcterms:W3CDTF">2026-08-03T06:19:12.712Z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