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36"/>
          <w:szCs w:val="36"/>
        </w:rPr>
        <w:t xml:space="preserve">Supporting files</w:t>
      </w:r>
    </w:p>
    <w:p>
      <w:pPr>
        <w:spacing w:after="100"/>
      </w:pPr>
      <w:r>
        <w:rPr>
          <w:i/>
          <w:iCs/>
          <w:color w:val="44454A"/>
          <w:sz w:val="22"/>
          <w:szCs w:val="22"/>
        </w:rPr>
        <w:t xml:space="preserve">Build Once, Answer Many: Where Disclosure Demand Converges for European Seafood-Processing SMEs</w:t>
      </w:r>
    </w:p>
    <w:p>
      <w:pPr>
        <w:pBdr>
          <w:bottom w:val="single" w:color="1F4E79" w:sz="10" w:space="8"/>
        </w:pBdr>
        <w:spacing w:after="320"/>
      </w:pPr>
      <w:r>
        <w:rPr>
          <w:color w:val="6B7280"/>
          <w:sz w:val="19"/>
          <w:szCs w:val="19"/>
        </w:rPr>
        <w:t xml:space="preserve">Linne Verhoeven   ·   supervised by Prof. Jean-Philippe Bonardi   ·   in collaboration with Seafood Europe   ·   August 2026</w:t>
      </w:r>
    </w:p>
    <w:p>
      <w:pPr>
        <w:spacing w:after="130"/>
      </w:pPr>
      <w:r>
        <w:rPr>
          <w:sz w:val="21"/>
          <w:szCs w:val="21"/>
        </w:rPr>
        <w:t xml:space="preserve">This archive contains the ten analysis files underlying the thesis. They correspond to the index in Appendix H. Each workbook opens on a README, INSTRUCTIONS or Legend sheet describing its contents.</w:t>
      </w:r>
    </w:p>
    <w:p>
      <w:pPr>
        <w:pStyle w:val="Heading1"/>
      </w:pPr>
      <w:r>
        <w:t xml:space="preserve">Chapter 4 — The disclosure ecosystem</w:t>
      </w:r>
    </w:p>
    <w:p>
      <w:pPr>
        <w:spacing w:after="130"/>
      </w:pPr>
      <w:r>
        <w:rPr>
          <w:sz w:val="21"/>
          <w:szCs w:val="21"/>
        </w:rPr>
        <w:t xml:space="preserve">Necessity_Domain_Matrix_v8.xlsx contains the catalogue of 49 instruments, each classified by necessity tier, domain, stakeholder source and obligation locus. The Classification sheet is the source of the counts reported in Chapter 4: 26 scored instruments plus 4 firm-profile opt-ins give the 30 that enter the demand matrix, alongside 7 context instruments, 11 exclusions and 1 baseline.</w:t>
      </w:r>
    </w:p>
    <w:p>
      <w:pPr>
        <w:pStyle w:val="Heading1"/>
      </w:pPr>
      <w:r>
        <w:t xml:space="preserve">Chapter 5 — The cohort frontier</w:t>
      </w:r>
    </w:p>
    <w:p>
      <w:pPr>
        <w:spacing w:after="130"/>
      </w:pPr>
      <w:r>
        <w:rPr>
          <w:sz w:val="21"/>
          <w:szCs w:val="21"/>
        </w:rPr>
        <w:t xml:space="preserve">Three files form a single chain, in this order:</w:t>
      </w:r>
    </w:p>
    <w:tbl>
      <w:tblPr>
        <w:tblW w:type="dxa" w:w="9360"/>
        <w:tblBorders>
          <w:top w:val="single" w:color="DCE1E8" w:sz="4"/>
          <w:left w:val="single" w:color="DCE1E8" w:sz="4"/>
          <w:bottom w:val="single" w:color="DCE1E8" w:sz="4"/>
          <w:right w:val="single" w:color="DCE1E8" w:sz="4"/>
          <w:insideH w:val="single" w:color="DCE1E8" w:sz="4"/>
          <w:insideV w:val="single" w:color="DCE1E8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ESRS_KPI_Mapping_V9.xlsx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Raw coding of each firm's report at disclosure-requirement level</w:t>
            </w:r>
          </w:p>
        </w:tc>
      </w:tr>
      <w:tr>
        <w:tc>
          <w:tcPr>
            <w:tcW w:type="dxa" w:w="310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ESRS_Coverage_Analytics_v7.ipynb</w:t>
            </w:r>
          </w:p>
        </w:tc>
        <w:tc>
          <w:tcPr>
            <w:tcW w:type="dxa" w:w="626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Builds the coverage matrix from that coding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ESRS_Coverage_Results.xlsx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results reported in Chapter 5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 </w:t>
      </w:r>
    </w:p>
    <w:p>
      <w:pPr>
        <w:spacing w:after="130"/>
      </w:pPr>
      <w:r>
        <w:rPr>
          <w:sz w:val="21"/>
          <w:szCs w:val="21"/>
        </w:rPr>
        <w:t xml:space="preserve">In ESRS_KPI_Mapping_V9.xlsx, only the ESRS_MASTER and Mapping_ALLStacked_TU_N25 sheets feed the published results. The per-firm sheets and earlier scenario variants are retained so that the coding history remains inspectable.</w:t>
      </w:r>
    </w:p>
    <w:p>
      <w:pPr>
        <w:spacing w:after="130"/>
      </w:pPr>
      <w:r>
        <w:rPr>
          <w:sz w:val="21"/>
          <w:szCs w:val="21"/>
        </w:rPr>
        <w:t xml:space="preserve">ESRS_Coverage_Analytics_v7.ipynb is written for Google Colab and runs in seventeen cells. All outputs are saved within the file, so every chart and table can be read without executing it.</w:t>
      </w:r>
    </w:p>
    <w:p>
      <w:pPr>
        <w:spacing w:after="130"/>
      </w:pPr>
      <w:r>
        <w:rPr>
          <w:sz w:val="21"/>
          <w:szCs w:val="21"/>
        </w:rPr>
        <w:t xml:space="preserve">GRI_ESRS_v6.xlsx and GRI_ESRS_Mapping_v4.ipynb implement the GRI-to-ESRS bridge. This is required because three cohort firms report under the GRI Standards rather than the ESRS, and to differing degrees: Thai Union reports in accordance with the standards, while Nomad Foods and Profand report with reference to them. Sheets are grouped by company.</w:t>
      </w:r>
    </w:p>
    <w:p>
      <w:pPr>
        <w:pStyle w:val="Heading1"/>
      </w:pPr>
      <w:r>
        <w:t xml:space="preserve">Chapter 6 — Cross-framework demand mapping</w:t>
      </w:r>
    </w:p>
    <w:tbl>
      <w:tblPr>
        <w:tblW w:type="dxa" w:w="9360"/>
        <w:tblBorders>
          <w:top w:val="single" w:color="DCE1E8" w:sz="4"/>
          <w:left w:val="single" w:color="DCE1E8" w:sz="4"/>
          <w:bottom w:val="single" w:color="DCE1E8" w:sz="4"/>
          <w:right w:val="single" w:color="DCE1E8" w:sz="4"/>
          <w:insideH w:val="single" w:color="DCE1E8" w:sz="4"/>
          <w:insideV w:val="single" w:color="DCE1E8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Phase3_Coverage_Matrix_v17.xlsx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scored matrix: 32 topic rows against 31 instrument columns, giving 992 cells of which 181 carry demand, with a per-cell justification log</w:t>
            </w:r>
          </w:p>
        </w:tc>
      </w:tr>
      <w:tr>
        <w:tc>
          <w:tcPr>
            <w:tcW w:type="dxa" w:w="310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GRI_13_Topics_FINAL.xlsx</w:t>
            </w:r>
          </w:p>
        </w:tc>
        <w:tc>
          <w:tcPr>
            <w:tcW w:type="dxa" w:w="626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GRI 13's 26 material topics classified against the ESRS as Covered, Reporting gap or Structural gap; the source of the four sector-material rows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VSME_Basic_and_Comprehensive.xlsx</w:t>
            </w:r>
          </w:p>
        </w:tc>
        <w:tc>
          <w:tcPr>
            <w:tcW w:type="dxa" w:w="6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VSME datapoints, used for the proportionate-subset crosswalk</w:t>
            </w:r>
          </w:p>
        </w:tc>
      </w:tr>
      <w:tr>
        <w:tc>
          <w:tcPr>
            <w:tcW w:type="dxa" w:w="310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SME_Datapoint_Guide.xlsx</w:t>
            </w:r>
          </w:p>
        </w:tc>
        <w:tc>
          <w:tcPr>
            <w:tcW w:type="dxa" w:w="6260"/>
            <w:shd w:fill="F6F8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113 datapoints across 32 topics, each with a plain-language reading and a first collection step; the data layer beneath the diagnostic tool</w:t>
            </w:r>
          </w:p>
        </w:tc>
      </w:tr>
    </w:tbl>
    <w:p>
      <w:pPr>
        <w:pStyle w:val="Heading1"/>
      </w:pPr>
      <w:r>
        <w:t xml:space="preserve">Notes on the analysis</w:t>
      </w:r>
    </w:p>
    <w:p>
      <w:pPr>
        <w:spacing w:after="130"/>
      </w:pPr>
      <w:r>
        <w:rPr>
          <w:sz w:val="21"/>
          <w:szCs w:val="21"/>
        </w:rPr>
        <w:t xml:space="preserve">The coding rests on a single analyst's documented judgement. Every non-zero cell carries a recorded rationale and a citation to the source clause, but the material has not been independently double-coded. The member-checking round with the six cohort firms has been initiated and remains outstanding at the time of writing; Sections 3.3 and 7.6 of the thesis state this explicitly.</w:t>
      </w:r>
    </w:p>
    <w:p>
      <w:pPr>
        <w:spacing w:after="130"/>
      </w:pPr>
      <w:r>
        <w:rPr>
          <w:sz w:val="21"/>
          <w:szCs w:val="21"/>
        </w:rPr>
        <w:t xml:space="preserve">This is the canonical set. Superseded versions, duplicate working copies and temporary files have been removed.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60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2026-08-03T06:19:12.709Z</dcterms:created>
  <dcterms:modified xsi:type="dcterms:W3CDTF">2026-08-03T06:19:12.709Z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