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APPENDIX</w:t>
      </w:r>
    </w:p>
    <w:p>
      <w:pPr>
        <w:spacing w:after="60"/>
      </w:pPr>
      <w:r>
        <w:rPr>
          <w:b/>
          <w:bCs/>
          <w:color w:val="1F3B4D"/>
          <w:sz w:val="40"/>
          <w:szCs w:val="40"/>
        </w:rPr>
        <w:t xml:space="preserve">Glossary of the Seafood Sustainability Disclosure Ecosystem</w:t>
      </w:r>
    </w:p>
    <w:p>
      <w:pPr>
        <w:spacing w:after="60"/>
      </w:pPr>
      <w:r>
        <w:rPr>
          <w:color w:val="333333"/>
          <w:sz w:val="22"/>
          <w:szCs w:val="22"/>
        </w:rPr>
        <w:t xml:space="preserve">Frameworks, regulations, certifications and standards — Layer 1 (demand) and Layer 2 (enablement).</w:t>
      </w:r>
    </w:p>
    <w:p>
      <w:pPr>
        <w:pBdr>
          <w:bottom w:val="single" w:color="2E6E8E" w:sz="6" w:space="4"/>
        </w:pBdr>
        <w:spacing w:after="200"/>
      </w:pPr>
      <w:r>
        <w:rPr>
          <w:i/>
          <w:iCs/>
          <w:color w:val="666666"/>
          <w:sz w:val="18"/>
          <w:szCs w:val="18"/>
        </w:rPr>
        <w:t xml:space="preserve">Snapshot: June 2026. Regulatory references and statuses current as of this date; verify against primary sources before final submission.</w:t>
      </w:r>
    </w:p>
    <w:p>
      <w:pPr>
        <w:pStyle w:val="Heading1"/>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t xml:space="preserve">How to use this glossary</w:t>
      </w:r>
    </w:p>
    <w:p>
      <w:pPr>
        <w:spacing w:after="120"/>
      </w:pPr>
      <w:r>
        <w:rPr>
          <w:sz w:val="18"/>
          <w:szCs w:val="18"/>
        </w:rPr>
        <w:t xml:space="preserve">This glossary catalogues every instrument in the seafood sustainability landscape mapped in this thesis. It works both as an orientation read — what each actor in the ecosystem actually is and who runs it — and as a reference appendix to the coverage matrix. Entries are grouped into two layers, mirroring the demand analysis in the methodology.</w:t>
      </w:r>
    </w:p>
    <w:p>
      <w:pPr>
        <w:spacing w:after="120"/>
      </w:pPr>
      <w:r>
        <w:rPr>
          <w:b/>
          <w:bCs/>
          <w:color w:val="1F3B4D"/>
          <w:sz w:val="18"/>
          <w:szCs w:val="18"/>
        </w:rPr>
        <w:t xml:space="preserve">Layer 1 — Demand-side instruments (disclosure askers). </w:t>
      </w:r>
      <w:r>
        <w:rPr>
          <w:sz w:val="18"/>
          <w:szCs w:val="18"/>
        </w:rPr>
        <w:t xml:space="preserve">Instruments that place a demand directly on the firm: they require it to report, certify, disclose or comply. These are the columns of the cross-framework demand matrix, sub-grouped by the stakeholder that drives them (EU horizontal, EU sector/operational, customer, investor, industry/NGO).</w:t>
      </w:r>
    </w:p>
    <w:p>
      <w:pPr>
        <w:spacing w:after="120"/>
      </w:pPr>
      <w:r>
        <w:rPr>
          <w:b/>
          <w:bCs/>
          <w:color w:val="1F3B4D"/>
          <w:sz w:val="18"/>
          <w:szCs w:val="18"/>
        </w:rPr>
        <w:t xml:space="preserve">Layer 2 — Enablement / methodology layer. </w:t>
      </w:r>
      <w:r>
        <w:rPr>
          <w:sz w:val="18"/>
          <w:szCs w:val="18"/>
        </w:rPr>
        <w:t xml:space="preserve">Instruments that provide the methods, accounting rules, benchmarks or data standards that make disclosure possible but do not themselves demand reporting from the firm. They are documented in the landscape yet held separate from the demand count — central to the capability-corridor argument rather than to the hotspot tally.</w:t>
      </w:r>
    </w:p>
    <w:p>
      <w:pPr>
        <w:spacing w:after="120"/>
      </w:pPr>
      <w:r>
        <w:rPr>
          <w:b/>
          <w:bCs/>
          <w:color w:val="1F3B4D"/>
          <w:sz w:val="18"/>
          <w:szCs w:val="18"/>
        </w:rPr>
        <w:t xml:space="preserve">Dual-role instruments. </w:t>
      </w:r>
      <w:r>
        <w:rPr>
          <w:sz w:val="18"/>
          <w:szCs w:val="18"/>
        </w:rPr>
        <w:t xml:space="preserve">A few sit on the boundary — TCFD/TNFD are frameworks that also shape investor asks; GDST is a data standard buyers may require; the EU Taxonomy informs financiers. Each is placed by its primary role, with the dual nature noted in its entry.</w:t>
      </w:r>
    </w:p>
    <w:p>
      <w:pPr>
        <w:spacing w:after="120"/>
      </w:pPr>
      <w:r>
        <w:rPr>
          <w:sz w:val="18"/>
          <w:szCs w:val="18"/>
        </w:rPr>
        <w:t xml:space="preserve">Each entry records, in a fixed metadata block: </w:t>
      </w:r>
      <w:r>
        <w:rPr>
          <w:b/>
          <w:bCs/>
          <w:sz w:val="18"/>
          <w:szCs w:val="18"/>
        </w:rPr>
        <w:t xml:space="preserve">the organisation behind the instrument</w:t>
      </w:r>
      <w:r>
        <w:rPr>
          <w:sz w:val="18"/>
          <w:szCs w:val="18"/>
        </w:rPr>
        <w:t xml:space="preserve">, its legal reference or founding year, its status, its stakeholder source and whether it is an asker or enabler, followed by its objective, its role in the seafood ecosystem, and — where relevant — an evidence note and an official source link.</w:t>
      </w:r>
    </w:p>
    <w:p>
      <w:pPr>
        <w:spacing w:after="120"/>
      </w:pPr>
      <w:r>
        <w:rPr>
          <w:b/>
          <w:bCs/>
          <w:color w:val="1F3B4D"/>
          <w:sz w:val="18"/>
          <w:szCs w:val="18"/>
        </w:rPr>
        <w:t xml:space="preserve">Reading the flags. </w:t>
      </w:r>
      <w:r>
        <w:rPr>
          <w:sz w:val="18"/>
          <w:szCs w:val="18"/>
        </w:rPr>
        <w:t xml:space="preserve">Following the project's evidence convention: unmarked statements are verified facts; </w:t>
      </w:r>
      <w:r>
        <w:rPr>
          <w:b/>
          <w:bCs/>
          <w:sz w:val="18"/>
          <w:szCs w:val="18"/>
        </w:rPr>
        <w:t xml:space="preserve">[LIKELY]</w:t>
      </w:r>
      <w:r>
        <w:rPr>
          <w:sz w:val="18"/>
          <w:szCs w:val="18"/>
        </w:rPr>
        <w:t xml:space="preserve"> marks high-confidence inference and </w:t>
      </w:r>
      <w:r>
        <w:rPr>
          <w:b/>
          <w:bCs/>
          <w:sz w:val="18"/>
          <w:szCs w:val="18"/>
        </w:rPr>
        <w:t xml:space="preserve">[ASSUMPTION]</w:t>
      </w:r>
      <w:r>
        <w:rPr>
          <w:sz w:val="18"/>
          <w:szCs w:val="18"/>
        </w:rPr>
        <w:t xml:space="preserve"> marks an inferred or uncertain detail. A </w:t>
      </w:r>
      <w:r>
        <w:rPr>
          <w:b/>
          <w:bCs/>
          <w:color w:val="B0470F"/>
          <w:sz w:val="18"/>
          <w:szCs w:val="18"/>
        </w:rPr>
        <w:t xml:space="preserve">⚠ Status flag</w:t>
      </w:r>
      <w:r>
        <w:rPr>
          <w:sz w:val="18"/>
          <w:szCs w:val="18"/>
        </w:rPr>
        <w:t xml:space="preserve"> highlights instruments whose scope, timing or legal standing was actively changing as of June 2026 — chiefly the EU 'Omnibus' simplification (CSRD, CSDDD, ESRS), the postponed EUDR timetable, the voluntary status of the VSME, and the future application dates of the Forced Labour Regulation and EmpCo.</w:t>
      </w:r>
    </w:p>
    <w:p>
      <w:pPr>
        <w:pStyle w:val="Heading1"/>
        <w:spacing w:after="140" w:before="360"/>
      </w:pPr>
      <w:r>
        <w:t xml:space="preserve">Layer 1 — Demand-side instruments (disclosure askers)</w:t>
      </w:r>
    </w:p>
    <w:p>
      <w:pPr>
        <w:pStyle w:val="Heading2"/>
        <w:spacing w:after="120" w:before="260"/>
      </w:pPr>
      <w:r>
        <w:t xml:space="preserve">1A · EU horizontal regulation — disclosure, due diligence &amp; finance</w:t>
      </w:r>
    </w:p>
    <w:p>
      <w:pPr>
        <w:pStyle w:val="Heading3"/>
        <w:spacing w:after="80" w:before="220"/>
      </w:pPr>
      <w:r>
        <w:t xml:space="preserve">CSRD — Corporate Sustainability Reporting Directive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(Commission proposal; co-legislated by Parliament &amp; Council)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Directive (EU) 2022/2464 — in force January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mandatory, transposed nationally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3thlde5djejp5a43auqa5">
              <w:r>
                <w:rPr>
                  <w:rStyle w:val="Hyperlink"/>
                  <w:sz w:val="18"/>
                  <w:szCs w:val="18"/>
                </w:rPr>
                <w:t xml:space="preserve">eur-lex.europa.eu — Directive (EU) 2022/2464</w:t>
              </w:r>
            </w:hyperlink>
          </w:p>
        </w:tc>
      </w:tr>
    </w:tbl>
    <w:p>
      <w:pPr>
        <w:spacing w:after="60" w:before="100"/>
      </w:pPr>
      <w:r>
        <w:rPr>
          <w:b/>
          <w:bCs/>
          <w:color w:val="1F3B4D"/>
          <w:sz w:val="18"/>
          <w:szCs w:val="18"/>
        </w:rPr>
        <w:t xml:space="preserve">Objective.  </w:t>
      </w:r>
      <w:r>
        <w:rPr>
          <w:sz w:val="18"/>
          <w:szCs w:val="18"/>
        </w:rPr>
        <w:t xml:space="preserve">Expands and standardises mandatory corporate sustainability reporting across the EU, requiring in-scope undertakings to report under the ESRS on a double-materiality basis (impacts on people and planet, and sustainability matters financially material to the firm).</w:t>
      </w:r>
    </w:p>
    <w:p>
      <w:pPr>
        <w:spacing w:after="60"/>
      </w:pPr>
      <w:r>
        <w:rPr>
          <w:b/>
          <w:bCs/>
          <w:color w:val="1F3B4D"/>
          <w:sz w:val="18"/>
          <w:szCs w:val="18"/>
        </w:rPr>
        <w:t xml:space="preserve">In the ecosystem.  </w:t>
      </w:r>
      <w:r>
        <w:rPr>
          <w:sz w:val="18"/>
          <w:szCs w:val="18"/>
        </w:rPr>
        <w:t xml:space="preserve">Sets the scope boundary that decides whether a seafood processor must report at all. Most 50–250-employee processors fall below its thresholds and are reached only as value-chain partners of larger in-scope customers.</w:t>
      </w:r>
    </w:p>
    <w:p>
      <w:pPr>
        <w:spacing w:after="120"/>
      </w:pPr>
      <w:r>
        <w:rPr>
          <w:b/>
          <w:bCs/>
          <w:color w:val="B0470F"/>
          <w:sz w:val="18"/>
          <w:szCs w:val="18"/>
        </w:rPr>
        <w:t xml:space="preserve">⚠ Status flag.  </w:t>
      </w:r>
      <w:r>
        <w:rPr>
          <w:i/>
          <w:iCs/>
          <w:color w:val="7a3214"/>
          <w:sz w:val="18"/>
          <w:szCs w:val="18"/>
        </w:rPr>
        <w:t xml:space="preserve">Scope and timing are being narrowed by the 2025 'Omnibus I' simplification package (raising thresholds and delaying waves). Treat the in-scope population as a moving target and verify the consolidated text before citing thresholds.</w:t>
      </w:r>
    </w:p>
    <w:p>
      <w:pPr>
        <w:pStyle w:val="Heading3"/>
        <w:spacing w:after="80" w:before="220"/>
      </w:pPr>
      <w:r>
        <w:t xml:space="preserve">ESRS — European Sustainability Reporting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Developed by EFRAG (technical adviser); adopted by the European Commission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Commission Delegated Regulation (EU) 2023/2772 — first set,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Delegated regulation under CSRD; mandatory for in-scope firms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jvs1ltlxjee5lxw-pyg0m">
              <w:r>
                <w:rPr>
                  <w:rStyle w:val="Hyperlink"/>
                  <w:sz w:val="18"/>
                  <w:szCs w:val="18"/>
                </w:rPr>
                <w:t xml:space="preserve">eur-lex.europa.eu — Del. Reg (EU) 2023/2772</w:t>
              </w:r>
            </w:hyperlink>
          </w:p>
        </w:tc>
      </w:tr>
    </w:tbl>
    <w:p>
      <w:pPr>
        <w:spacing w:after="60" w:before="100"/>
      </w:pPr>
      <w:r>
        <w:rPr>
          <w:b/>
          <w:bCs/>
          <w:color w:val="1F3B4D"/>
          <w:sz w:val="18"/>
          <w:szCs w:val="18"/>
        </w:rPr>
        <w:t xml:space="preserve">Objective.  </w:t>
      </w:r>
      <w:r>
        <w:rPr>
          <w:sz w:val="18"/>
          <w:szCs w:val="18"/>
        </w:rPr>
        <w:t xml:space="preserve">The detailed disclosure standards that operationalise the CSRD: two cross-cutting standards (ESRS 1–2) plus ten topical standards (E1–E5, S1–S4, G1), all built on double materiality and a defined set of Disclosure Requirements (DRs).</w:t>
      </w:r>
    </w:p>
    <w:p>
      <w:pPr>
        <w:spacing w:after="60"/>
      </w:pPr>
      <w:r>
        <w:rPr>
          <w:b/>
          <w:bCs/>
          <w:color w:val="1F3B4D"/>
          <w:sz w:val="18"/>
          <w:szCs w:val="18"/>
        </w:rPr>
        <w:t xml:space="preserve">In the ecosystem.  </w:t>
      </w:r>
      <w:r>
        <w:rPr>
          <w:sz w:val="18"/>
          <w:szCs w:val="18"/>
        </w:rPr>
        <w:t xml:space="preserve">The DR-level ruler against which this thesis maps all cohort and SME disclosure; it defines the topical Disclosure Requirements that the coverage matrix scores frameworks against.</w:t>
      </w:r>
    </w:p>
    <w:p>
      <w:pPr>
        <w:spacing w:after="120"/>
      </w:pPr>
      <w:r>
        <w:rPr>
          <w:b/>
          <w:bCs/>
          <w:color w:val="B0470F"/>
          <w:sz w:val="18"/>
          <w:szCs w:val="18"/>
        </w:rPr>
        <w:t xml:space="preserve">⚠ Status flag.  </w:t>
      </w:r>
      <w:r>
        <w:rPr>
          <w:i/>
          <w:iCs/>
          <w:color w:val="7a3214"/>
          <w:sz w:val="18"/>
          <w:szCs w:val="18"/>
        </w:rPr>
        <w:t xml:space="preserve">A simplified ESRS set (fewer datapoints) is under EFRAG revision following the Omnibus mandate — the exact DR/datapoint counts may change.</w:t>
      </w:r>
    </w:p>
    <w:p>
      <w:pPr>
        <w:pStyle w:val="Heading3"/>
        <w:spacing w:after="80" w:before="220"/>
      </w:pPr>
      <w:r>
        <w:t xml:space="preserve">VSME — Voluntary Sustainability Reporting Standard for SMEs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EFRAG (technical adviser to the European Commission)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Delivered to the Commission Dec 2024; Commission Recommendation adopted 30 July 2025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EU standard; non-binding (not a delegated act, so no legal standing under CSRD Art. 29c yet)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(SME-proportionate floor)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ibczihn3jcaxtjdjiu_mv">
              <w:r>
                <w:rPr>
                  <w:rStyle w:val="Hyperlink"/>
                  <w:sz w:val="18"/>
                  <w:szCs w:val="18"/>
                </w:rPr>
                <w:t xml:space="preserve">ec.europa.eu — VSME Recommendation (30 July 2025)</w:t>
              </w:r>
            </w:hyperlink>
          </w:p>
        </w:tc>
      </w:tr>
    </w:tbl>
    <w:p>
      <w:pPr>
        <w:spacing w:after="60" w:before="100"/>
      </w:pPr>
      <w:r>
        <w:rPr>
          <w:b/>
          <w:bCs/>
          <w:color w:val="1F3B4D"/>
          <w:sz w:val="18"/>
          <w:szCs w:val="18"/>
        </w:rPr>
        <w:t xml:space="preserve">Objective.  </w:t>
      </w:r>
      <w:r>
        <w:rPr>
          <w:sz w:val="18"/>
          <w:szCs w:val="18"/>
        </w:rPr>
        <w:t xml:space="preserve">A proportionate voluntary standard for SMEs outside CSRD scope, structured as a Basic Module and a Comprehensive Module, designed to cut the reporting load from roughly a thousand ESRS datapoints to around a hundred and to answer the most common value-chain and lender information requests.</w:t>
      </w:r>
    </w:p>
    <w:p>
      <w:pPr>
        <w:spacing w:after="60"/>
      </w:pPr>
      <w:r>
        <w:rPr>
          <w:b/>
          <w:bCs/>
          <w:color w:val="1F3B4D"/>
          <w:sz w:val="18"/>
          <w:szCs w:val="18"/>
        </w:rPr>
        <w:t xml:space="preserve">In the ecosystem.  </w:t>
      </w:r>
      <w:r>
        <w:rPr>
          <w:sz w:val="18"/>
          <w:szCs w:val="18"/>
        </w:rPr>
        <w:t xml:space="preserve">The realistic regulatory reference point — and candidate 'home base' — for non-CSRD seafood SMEs; built specifically so a small supplier can respond to a large customer's ESRS-driven data request once rather than per buyer.</w:t>
      </w:r>
    </w:p>
    <w:p>
      <w:pPr>
        <w:spacing w:after="120"/>
      </w:pPr>
      <w:r>
        <w:rPr>
          <w:b/>
          <w:bCs/>
          <w:color w:val="B0470F"/>
          <w:sz w:val="18"/>
          <w:szCs w:val="18"/>
        </w:rPr>
        <w:t xml:space="preserve">⚠ Status flag.  </w:t>
      </w:r>
      <w:r>
        <w:rPr>
          <w:i/>
          <w:iCs/>
          <w:color w:val="7a3214"/>
          <w:sz w:val="18"/>
          <w:szCs w:val="18"/>
        </w:rPr>
        <w:t xml:space="preserve">It is a Commission Recommendation, not a Delegated Act — adoption is encouraged but voluntary as of June 2026. Do not describe it as legally binding.</w:t>
      </w:r>
    </w:p>
    <w:p>
      <w:pPr>
        <w:pStyle w:val="Heading3"/>
        <w:spacing w:after="80" w:before="220"/>
      </w:pPr>
      <w:r>
        <w:t xml:space="preserve">CSDDD — Corporate Sustainability Due Diligence Directive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Directive (EU) 2024/1760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phased transposition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a-ihpdph8h5cvc3ec95kh">
              <w:r>
                <w:rPr>
                  <w:rStyle w:val="Hyperlink"/>
                  <w:sz w:val="18"/>
                  <w:szCs w:val="18"/>
                </w:rPr>
                <w:t xml:space="preserve">eur-lex.europa.eu — Directive (EU) 2024/1760</w:t>
              </w:r>
            </w:hyperlink>
          </w:p>
        </w:tc>
      </w:tr>
    </w:tbl>
    <w:p>
      <w:pPr>
        <w:spacing w:after="60" w:before="100"/>
      </w:pPr>
      <w:r>
        <w:rPr>
          <w:b/>
          <w:bCs/>
          <w:color w:val="1F3B4D"/>
          <w:sz w:val="18"/>
          <w:szCs w:val="18"/>
        </w:rPr>
        <w:t xml:space="preserve">Objective.  </w:t>
      </w:r>
      <w:r>
        <w:rPr>
          <w:sz w:val="18"/>
          <w:szCs w:val="18"/>
        </w:rPr>
        <w:t xml:space="preserve">Requires large companies to conduct human-rights and environmental due diligence across their chains of activities — identifying, preventing, mitigating and accounting for adverse impacts. It is a conduct/due-diligence directive rather than a reporting standard.</w:t>
      </w:r>
    </w:p>
    <w:p>
      <w:pPr>
        <w:spacing w:after="60"/>
      </w:pPr>
      <w:r>
        <w:rPr>
          <w:b/>
          <w:bCs/>
          <w:color w:val="1F3B4D"/>
          <w:sz w:val="18"/>
          <w:szCs w:val="18"/>
        </w:rPr>
        <w:t xml:space="preserve">In the ecosystem.  </w:t>
      </w:r>
      <w:r>
        <w:rPr>
          <w:sz w:val="18"/>
          <w:szCs w:val="18"/>
        </w:rPr>
        <w:t xml:space="preserve">Drives value-chain due-diligence expectations (e.g. forced labour in fishing fleets) that cascade contractually onto SME suppliers even when those SMEs are not themselves in scope.</w:t>
      </w:r>
    </w:p>
    <w:p>
      <w:pPr>
        <w:spacing w:after="120"/>
      </w:pPr>
      <w:r>
        <w:rPr>
          <w:b/>
          <w:bCs/>
          <w:color w:val="B0470F"/>
          <w:sz w:val="18"/>
          <w:szCs w:val="18"/>
        </w:rPr>
        <w:t xml:space="preserve">⚠ Status flag.  </w:t>
      </w:r>
      <w:r>
        <w:rPr>
          <w:i/>
          <w:iCs/>
          <w:color w:val="7a3214"/>
          <w:sz w:val="18"/>
          <w:szCs w:val="18"/>
        </w:rPr>
        <w:t xml:space="preserve">Scope, timing and the civil-liability regime are being scaled back under the 2025 Omnibus package; the first-wave application date has moved. Verify the consolidated text.</w:t>
      </w:r>
    </w:p>
    <w:p>
      <w:pPr>
        <w:pStyle w:val="Heading3"/>
        <w:spacing w:after="80" w:before="220"/>
      </w:pPr>
      <w:r>
        <w:t xml:space="preserve">EU Taxonomy — Regulation on the establishment of a framework to facilitate sustainable investment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2020/852</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(capital-market facing)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kqyynzgc_eqpp--ulz0a-">
              <w:r>
                <w:rPr>
                  <w:rStyle w:val="Hyperlink"/>
                  <w:sz w:val="18"/>
                  <w:szCs w:val="18"/>
                </w:rPr>
                <w:t xml:space="preserve">eur-lex.europa.eu — Regulation (EU) 2020/852</w:t>
              </w:r>
            </w:hyperlink>
          </w:p>
        </w:tc>
      </w:tr>
    </w:tbl>
    <w:p>
      <w:pPr>
        <w:spacing w:after="60" w:before="100"/>
      </w:pPr>
      <w:r>
        <w:rPr>
          <w:b/>
          <w:bCs/>
          <w:color w:val="1F3B4D"/>
          <w:sz w:val="18"/>
          <w:szCs w:val="18"/>
        </w:rPr>
        <w:t xml:space="preserve">Objective.  </w:t>
      </w:r>
      <w:r>
        <w:rPr>
          <w:sz w:val="18"/>
          <w:szCs w:val="18"/>
        </w:rPr>
        <w:t xml:space="preserve">A classification system defining environmentally sustainable economic activities against six environmental objectives, using technical screening criteria, 'do-no-significant-harm' tests and minimum social safeguards.</w:t>
      </w:r>
    </w:p>
    <w:p>
      <w:pPr>
        <w:spacing w:after="120"/>
      </w:pPr>
      <w:r>
        <w:rPr>
          <w:b/>
          <w:bCs/>
          <w:color w:val="1F3B4D"/>
          <w:sz w:val="18"/>
          <w:szCs w:val="18"/>
        </w:rPr>
        <w:t xml:space="preserve">In the ecosystem.  </w:t>
      </w:r>
      <w:r>
        <w:rPr>
          <w:sz w:val="18"/>
          <w:szCs w:val="18"/>
        </w:rPr>
        <w:t xml:space="preserve">Shapes how banks and investors assess 'green' exposure; reaches seafood SMEs mainly through lender and investor alignment questions rather than as a direct obligation.</w:t>
      </w:r>
    </w:p>
    <w:p>
      <w:pPr>
        <w:pStyle w:val="Heading3"/>
        <w:spacing w:after="80" w:before="220"/>
      </w:pPr>
      <w:r>
        <w:t xml:space="preserve">SFDR — Sustainable Finance Disclosure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2019/2088 — applies from 2021</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targets financial market participants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(investor-facing)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qibxxws5rhlpobn0-yrtt">
              <w:r>
                <w:rPr>
                  <w:rStyle w:val="Hyperlink"/>
                  <w:sz w:val="18"/>
                  <w:szCs w:val="18"/>
                </w:rPr>
                <w:t xml:space="preserve">eur-lex.europa.eu — Regulation (EU) 2019/2088</w:t>
              </w:r>
            </w:hyperlink>
          </w:p>
        </w:tc>
      </w:tr>
    </w:tbl>
    <w:p>
      <w:pPr>
        <w:spacing w:after="60" w:before="100"/>
      </w:pPr>
      <w:r>
        <w:rPr>
          <w:b/>
          <w:bCs/>
          <w:color w:val="1F3B4D"/>
          <w:sz w:val="18"/>
          <w:szCs w:val="18"/>
        </w:rPr>
        <w:t xml:space="preserve">Objective.  </w:t>
      </w:r>
      <w:r>
        <w:rPr>
          <w:sz w:val="18"/>
          <w:szCs w:val="18"/>
        </w:rPr>
        <w:t xml:space="preserve">Requires financial market participants and advisers to disclose how they integrate sustainability risks and to report principal adverse impacts (PAI) of their investments.</w:t>
      </w:r>
    </w:p>
    <w:p>
      <w:pPr>
        <w:spacing w:after="120"/>
      </w:pPr>
      <w:r>
        <w:rPr>
          <w:b/>
          <w:bCs/>
          <w:color w:val="1F3B4D"/>
          <w:sz w:val="18"/>
          <w:szCs w:val="18"/>
        </w:rPr>
        <w:t xml:space="preserve">In the ecosystem.  </w:t>
      </w:r>
      <w:r>
        <w:rPr>
          <w:sz w:val="18"/>
          <w:szCs w:val="18"/>
        </w:rPr>
        <w:t xml:space="preserve">Indirect pressure on the firm: SFDR-bound funds and banks pass PAI data requests down to investee and borrower seafood companies.</w:t>
      </w:r>
    </w:p>
    <w:p>
      <w:pPr>
        <w:pStyle w:val="Heading2"/>
        <w:spacing w:after="120" w:before="260"/>
      </w:pPr>
      <w:r>
        <w:t xml:space="preserve">1B · EU sector &amp; operational regulation — seafood, food &amp; labour</w:t>
      </w:r>
    </w:p>
    <w:p>
      <w:pPr>
        <w:pStyle w:val="Heading3"/>
        <w:spacing w:after="80" w:before="220"/>
      </w:pPr>
      <w:r>
        <w:t xml:space="preserve">CFP — Common Fisheries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No 1380/2013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shkdfg57ahrswwy4netx8">
              <w:r>
                <w:rPr>
                  <w:rStyle w:val="Hyperlink"/>
                  <w:sz w:val="18"/>
                  <w:szCs w:val="18"/>
                </w:rPr>
                <w:t xml:space="preserve">eur-lex.europa.eu — Reg (EU) 1380/2013</w:t>
              </w:r>
            </w:hyperlink>
          </w:p>
        </w:tc>
      </w:tr>
    </w:tbl>
    <w:p>
      <w:pPr>
        <w:spacing w:after="60" w:before="100"/>
      </w:pPr>
      <w:r>
        <w:rPr>
          <w:b/>
          <w:bCs/>
          <w:color w:val="1F3B4D"/>
          <w:sz w:val="18"/>
          <w:szCs w:val="18"/>
        </w:rPr>
        <w:t xml:space="preserve">Objective.  </w:t>
      </w:r>
      <w:r>
        <w:rPr>
          <w:sz w:val="18"/>
          <w:szCs w:val="18"/>
        </w:rPr>
        <w:t xml:space="preserve">The overarching EU framework for managing fishing fleets and conserving stocks — fishing-opportunity setting (TACs/quotas), fleet-capacity ceilings, the landing obligation and a maximum-sustainable-yield (MSY) exploitation objective.</w:t>
      </w:r>
    </w:p>
    <w:p>
      <w:pPr>
        <w:spacing w:after="120"/>
      </w:pPr>
      <w:r>
        <w:rPr>
          <w:b/>
          <w:bCs/>
          <w:color w:val="1F3B4D"/>
          <w:sz w:val="18"/>
          <w:szCs w:val="18"/>
        </w:rPr>
        <w:t xml:space="preserve">In the ecosystem.  </w:t>
      </w:r>
      <w:r>
        <w:rPr>
          <w:sz w:val="18"/>
          <w:szCs w:val="18"/>
        </w:rPr>
        <w:t xml:space="preserve">Tier-1 legal licence to operate for wild-capture sourcing; it binds Member States, and processor-facing obligations flow downstream through the Control Regulation, IUU and CMO rather than from the CFP itself.</w:t>
      </w:r>
    </w:p>
    <w:p>
      <w:pPr>
        <w:pStyle w:val="Heading3"/>
        <w:spacing w:after="80" w:before="220"/>
      </w:pPr>
      <w:r>
        <w:t xml:space="preserve">IUU Regulation — Illegal, Unreported and Unregulated Fishing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Council Regulation (EC) No 1005/2008 — applies from 2010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wqzk1msjdgwlrx2hbxsj_">
              <w:r>
                <w:rPr>
                  <w:rStyle w:val="Hyperlink"/>
                  <w:sz w:val="18"/>
                  <w:szCs w:val="18"/>
                </w:rPr>
                <w:t xml:space="preserve">eur-lex.europa.eu — Reg (EC) 1005/2008</w:t>
              </w:r>
            </w:hyperlink>
          </w:p>
        </w:tc>
      </w:tr>
    </w:tbl>
    <w:p>
      <w:pPr>
        <w:spacing w:after="60" w:before="100"/>
      </w:pPr>
      <w:r>
        <w:rPr>
          <w:b/>
          <w:bCs/>
          <w:color w:val="1F3B4D"/>
          <w:sz w:val="18"/>
          <w:szCs w:val="18"/>
        </w:rPr>
        <w:t xml:space="preserve">Objective.  </w:t>
      </w:r>
      <w:r>
        <w:rPr>
          <w:sz w:val="18"/>
          <w:szCs w:val="18"/>
        </w:rPr>
        <w:t xml:space="preserve">Prevents, deters and eliminates illegal, unreported and unregulated fishing, chiefly through a catch-certificate scheme: imported wild-capture products must carry a catch certificate validated by the flag state.</w:t>
      </w:r>
    </w:p>
    <w:p>
      <w:pPr>
        <w:spacing w:after="120"/>
      </w:pPr>
      <w:r>
        <w:rPr>
          <w:b/>
          <w:bCs/>
          <w:color w:val="1F3B4D"/>
          <w:sz w:val="18"/>
          <w:szCs w:val="18"/>
        </w:rPr>
        <w:t xml:space="preserve">In the ecosystem.  </w:t>
      </w:r>
      <w:r>
        <w:rPr>
          <w:sz w:val="18"/>
          <w:szCs w:val="18"/>
        </w:rPr>
        <w:t xml:space="preserve">Anchor of the external traceability corridor — a validated catch certificate is a Tier-1 precondition for placing imported wild fish on the EU market, complementary to (not a subset of) the internal Control Regulation.</w:t>
      </w:r>
    </w:p>
    <w:p>
      <w:pPr>
        <w:pStyle w:val="Heading3"/>
        <w:spacing w:after="80" w:before="220"/>
      </w:pPr>
      <w:r>
        <w:t xml:space="preserve">Control Regulation (recast) — Fisheries Control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2023/2842, amending Reg (EC) 1224/2009</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(phased)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akmglghhdm9dn8b8bru6h">
              <w:r>
                <w:rPr>
                  <w:rStyle w:val="Hyperlink"/>
                  <w:sz w:val="18"/>
                  <w:szCs w:val="18"/>
                </w:rPr>
                <w:t xml:space="preserve">eur-lex.europa.eu — Reg (EU) 2023/2842</w:t>
              </w:r>
            </w:hyperlink>
          </w:p>
        </w:tc>
      </w:tr>
    </w:tbl>
    <w:p>
      <w:pPr>
        <w:spacing w:after="60" w:before="100"/>
      </w:pPr>
      <w:r>
        <w:rPr>
          <w:b/>
          <w:bCs/>
          <w:color w:val="1F3B4D"/>
          <w:sz w:val="18"/>
          <w:szCs w:val="18"/>
        </w:rPr>
        <w:t xml:space="preserve">Objective.  </w:t>
      </w:r>
      <w:r>
        <w:rPr>
          <w:sz w:val="18"/>
          <w:szCs w:val="18"/>
        </w:rPr>
        <w:t xml:space="preserve">Modernises EU fisheries control and enforcement — including full-chain digital traceability, mandatory electronic catch documentation and tighter monitoring of the EU fleet and the EU market.</w:t>
      </w:r>
    </w:p>
    <w:p>
      <w:pPr>
        <w:spacing w:after="120"/>
      </w:pPr>
      <w:r>
        <w:rPr>
          <w:b/>
          <w:bCs/>
          <w:color w:val="1F3B4D"/>
          <w:sz w:val="18"/>
          <w:szCs w:val="18"/>
        </w:rPr>
        <w:t xml:space="preserve">In the ecosystem.  </w:t>
      </w:r>
      <w:r>
        <w:rPr>
          <w:sz w:val="18"/>
          <w:szCs w:val="18"/>
        </w:rPr>
        <w:t xml:space="preserve">Governs internal EU-fleet control and EU-market traceability (the sibling to IUU's external import scheme); pushes lot-level digital traceability that feeds the traceability-capability corridor.</w:t>
      </w:r>
    </w:p>
    <w:p>
      <w:pPr>
        <w:pStyle w:val="Heading3"/>
        <w:spacing w:after="80" w:before="220"/>
      </w:pPr>
      <w:r>
        <w:t xml:space="preserve">CMO Regulation — Common Market Organisation for fishery &amp; aquaculture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No 1379/2013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uzu6sh-ojebqpho2xsqec">
              <w:r>
                <w:rPr>
                  <w:rStyle w:val="Hyperlink"/>
                  <w:sz w:val="18"/>
                  <w:szCs w:val="18"/>
                </w:rPr>
                <w:t xml:space="preserve">eur-lex.europa.eu — Reg (EU) 1379/2013</w:t>
              </w:r>
            </w:hyperlink>
          </w:p>
        </w:tc>
      </w:tr>
    </w:tbl>
    <w:p>
      <w:pPr>
        <w:spacing w:after="60" w:before="100"/>
      </w:pPr>
      <w:r>
        <w:rPr>
          <w:b/>
          <w:bCs/>
          <w:color w:val="1F3B4D"/>
          <w:sz w:val="18"/>
          <w:szCs w:val="18"/>
        </w:rPr>
        <w:t xml:space="preserve">Objective.  </w:t>
      </w:r>
      <w:r>
        <w:rPr>
          <w:sz w:val="18"/>
          <w:szCs w:val="18"/>
        </w:rPr>
        <w:t xml:space="preserve">Organises the EU market for fishery and aquaculture products, including common marketing standards and mandatory consumer information — commercial and scientific species name, production method, catch/production area and gear category.</w:t>
      </w:r>
    </w:p>
    <w:p>
      <w:pPr>
        <w:spacing w:after="120"/>
      </w:pPr>
      <w:r>
        <w:rPr>
          <w:b/>
          <w:bCs/>
          <w:color w:val="1F3B4D"/>
          <w:sz w:val="18"/>
          <w:szCs w:val="18"/>
        </w:rPr>
        <w:t xml:space="preserve">In the ecosystem.  </w:t>
      </w:r>
      <w:r>
        <w:rPr>
          <w:sz w:val="18"/>
          <w:szCs w:val="18"/>
        </w:rPr>
        <w:t xml:space="preserve">Binds the processor at the point of sale; its mandatory origin and method labelling overlap directly with chain-of-custody and consumer-information disclosures.</w:t>
      </w:r>
    </w:p>
    <w:p>
      <w:pPr>
        <w:pStyle w:val="Heading3"/>
        <w:spacing w:after="80" w:before="220"/>
      </w:pPr>
      <w:r>
        <w:t xml:space="preserve">Fisheries Labour Directive — Implementation of the ILO Work in Fishing Convention (C188)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(implementing social-partner agreement on ILO C188)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Council Directive (EU) 2017/159</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 social)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ifb1qxbsbhkqtgzvxlwwc">
              <w:r>
                <w:rPr>
                  <w:rStyle w:val="Hyperlink"/>
                  <w:sz w:val="18"/>
                  <w:szCs w:val="18"/>
                </w:rPr>
                <w:t xml:space="preserve">eur-lex.europa.eu — Dir (EU) 2017/159</w:t>
              </w:r>
            </w:hyperlink>
          </w:p>
        </w:tc>
      </w:tr>
    </w:tbl>
    <w:p>
      <w:pPr>
        <w:spacing w:after="60" w:before="100"/>
      </w:pPr>
      <w:r>
        <w:rPr>
          <w:b/>
          <w:bCs/>
          <w:color w:val="1F3B4D"/>
          <w:sz w:val="18"/>
          <w:szCs w:val="18"/>
        </w:rPr>
        <w:t xml:space="preserve">Objective.  </w:t>
      </w:r>
      <w:r>
        <w:rPr>
          <w:sz w:val="18"/>
          <w:szCs w:val="18"/>
        </w:rPr>
        <w:t xml:space="preserve">Sets minimum working and living conditions for fishers aboard vessels (contracts, hours/rest, repatriation, accommodation, medical care).</w:t>
      </w:r>
    </w:p>
    <w:p>
      <w:pPr>
        <w:spacing w:after="120"/>
      </w:pPr>
      <w:r>
        <w:rPr>
          <w:b/>
          <w:bCs/>
          <w:color w:val="1F3B4D"/>
          <w:sz w:val="18"/>
          <w:szCs w:val="18"/>
        </w:rPr>
        <w:t xml:space="preserve">In the ecosystem.  </w:t>
      </w:r>
      <w:r>
        <w:rPr>
          <w:sz w:val="18"/>
          <w:szCs w:val="18"/>
        </w:rPr>
        <w:t xml:space="preserve">Binds vessel owners rather than the processor; reaches the firm as value-chain content via buyer SMETA audits and ESRS S2, and as a baseline for forced-labour scrutiny.</w:t>
      </w:r>
    </w:p>
    <w:p>
      <w:pPr>
        <w:pStyle w:val="Heading3"/>
        <w:spacing w:after="80" w:before="220"/>
      </w:pPr>
      <w:r>
        <w:t xml:space="preserve">EUDR — EU Deforestation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2023/1115 — phased application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(sector-adjacent)</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3jmit0jo8gqfdniqcbv-6">
              <w:r>
                <w:rPr>
                  <w:rStyle w:val="Hyperlink"/>
                  <w:sz w:val="18"/>
                  <w:szCs w:val="18"/>
                </w:rPr>
                <w:t xml:space="preserve">eur-lex.europa.eu — Reg (EU) 2023/1115</w:t>
              </w:r>
            </w:hyperlink>
          </w:p>
        </w:tc>
      </w:tr>
    </w:tbl>
    <w:p>
      <w:pPr>
        <w:spacing w:after="60" w:before="100"/>
      </w:pPr>
      <w:r>
        <w:rPr>
          <w:b/>
          <w:bCs/>
          <w:color w:val="1F3B4D"/>
          <w:sz w:val="18"/>
          <w:szCs w:val="18"/>
        </w:rPr>
        <w:t xml:space="preserve">Objective.  </w:t>
      </w:r>
      <w:r>
        <w:rPr>
          <w:sz w:val="18"/>
          <w:szCs w:val="18"/>
        </w:rPr>
        <w:t xml:space="preserve">Prohibits placing on (or exporting from) the EU market certain commodities linked to deforestation — cattle, soy, palm oil, wood, cocoa, coffee, rubber — without due-diligence statements backed by geolocation evidence.</w:t>
      </w:r>
    </w:p>
    <w:p>
      <w:pPr>
        <w:spacing w:after="60"/>
      </w:pPr>
      <w:r>
        <w:rPr>
          <w:b/>
          <w:bCs/>
          <w:color w:val="1F3B4D"/>
          <w:sz w:val="18"/>
          <w:szCs w:val="18"/>
        </w:rPr>
        <w:t xml:space="preserve">In the ecosystem.  </w:t>
      </w:r>
      <w:r>
        <w:rPr>
          <w:sz w:val="18"/>
          <w:szCs w:val="18"/>
        </w:rPr>
        <w:t xml:space="preserve">Relevant to aquaculture feed sourcing (soy and palm derivatives) and to paper/board packaging, and to natural-ecosystem-conversion topics.</w:t>
      </w:r>
    </w:p>
    <w:p>
      <w:pPr>
        <w:spacing w:after="120"/>
      </w:pPr>
      <w:r>
        <w:rPr>
          <w:b/>
          <w:bCs/>
          <w:color w:val="B0470F"/>
          <w:sz w:val="18"/>
          <w:szCs w:val="18"/>
        </w:rPr>
        <w:t xml:space="preserve">⚠ Status flag.  </w:t>
      </w:r>
      <w:r>
        <w:rPr>
          <w:i/>
          <w:iCs/>
          <w:color w:val="7a3214"/>
          <w:sz w:val="18"/>
          <w:szCs w:val="18"/>
        </w:rPr>
        <w:t xml:space="preserve">Application was postponed by 12 months: large/medium operators from 30 Dec 2025 and micro/small operators from 30 June 2026 — confirm the current date for your size class.</w:t>
      </w:r>
    </w:p>
    <w:p>
      <w:pPr>
        <w:pStyle w:val="Heading3"/>
        <w:spacing w:after="80" w:before="220"/>
      </w:pPr>
      <w:r>
        <w:t xml:space="preserve">PPWR — Packaging and Packaging Waste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2025/40 — in force 11 Feb 2025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main obligations apply from 12 Aug 2026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y-xeiocbxy8t5k4r1putb">
              <w:r>
                <w:rPr>
                  <w:rStyle w:val="Hyperlink"/>
                  <w:sz w:val="18"/>
                  <w:szCs w:val="18"/>
                </w:rPr>
                <w:t xml:space="preserve">eur-lex.europa.eu — Reg (EU) 2025/40</w:t>
              </w:r>
            </w:hyperlink>
          </w:p>
        </w:tc>
      </w:tr>
    </w:tbl>
    <w:p>
      <w:pPr>
        <w:spacing w:after="60" w:before="100"/>
      </w:pPr>
      <w:r>
        <w:rPr>
          <w:b/>
          <w:bCs/>
          <w:color w:val="1F3B4D"/>
          <w:sz w:val="18"/>
          <w:szCs w:val="18"/>
        </w:rPr>
        <w:t xml:space="preserve">Objective.  </w:t>
      </w:r>
      <w:r>
        <w:rPr>
          <w:sz w:val="18"/>
          <w:szCs w:val="18"/>
        </w:rPr>
        <w:t xml:space="preserve">Replaces the 1994 Packaging Directive with directly-applicable rules on packaging minimisation, recyclability, recycled-content targets and labelling for all packaging placed on the EU market.</w:t>
      </w:r>
    </w:p>
    <w:p>
      <w:pPr>
        <w:spacing w:after="120"/>
      </w:pPr>
      <w:r>
        <w:rPr>
          <w:b/>
          <w:bCs/>
          <w:color w:val="1F3B4D"/>
          <w:sz w:val="18"/>
          <w:szCs w:val="18"/>
        </w:rPr>
        <w:t xml:space="preserve">In the ecosystem.  </w:t>
      </w:r>
      <w:r>
        <w:rPr>
          <w:sz w:val="18"/>
          <w:szCs w:val="18"/>
        </w:rPr>
        <w:t xml:space="preserve">Touches resource-use and waste (E5) plus the packaging data that retailers increasingly request; binds the processor as the entity placing packaged product on the market.</w:t>
      </w:r>
    </w:p>
    <w:p>
      <w:pPr>
        <w:pStyle w:val="Heading3"/>
        <w:spacing w:after="80" w:before="220"/>
      </w:pPr>
      <w:r>
        <w:t xml:space="preserve">EmpCo — Empowering Consumers for the Green Transition Directive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Directive (EU) 2024/825 — in force 26 Mar 2024</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transpose by 27 Mar 2026, apply from 27 Sep 2026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pzrhvhqpcwosqgnipx9zn">
              <w:r>
                <w:rPr>
                  <w:rStyle w:val="Hyperlink"/>
                  <w:sz w:val="18"/>
                  <w:szCs w:val="18"/>
                </w:rPr>
                <w:t xml:space="preserve">eur-lex.europa.eu — Dir (EU) 2024/825</w:t>
              </w:r>
            </w:hyperlink>
          </w:p>
        </w:tc>
      </w:tr>
    </w:tbl>
    <w:p>
      <w:pPr>
        <w:spacing w:after="60" w:before="100"/>
      </w:pPr>
      <w:r>
        <w:rPr>
          <w:b/>
          <w:bCs/>
          <w:color w:val="1F3B4D"/>
          <w:sz w:val="18"/>
          <w:szCs w:val="18"/>
        </w:rPr>
        <w:t xml:space="preserve">Objective.  </w:t>
      </w:r>
      <w:r>
        <w:rPr>
          <w:sz w:val="18"/>
          <w:szCs w:val="18"/>
        </w:rPr>
        <w:t xml:space="preserve">Amends the Unfair Commercial Practices and Consumer Rights Directives to ban generic, unsubstantiated green claims ('eco-friendly', 'climate neutral') and to regulate sustainability labels.</w:t>
      </w:r>
    </w:p>
    <w:p>
      <w:pPr>
        <w:spacing w:after="60"/>
      </w:pPr>
      <w:r>
        <w:rPr>
          <w:b/>
          <w:bCs/>
          <w:color w:val="1F3B4D"/>
          <w:sz w:val="18"/>
          <w:szCs w:val="18"/>
        </w:rPr>
        <w:t xml:space="preserve">In the ecosystem.  </w:t>
      </w:r>
      <w:r>
        <w:rPr>
          <w:sz w:val="18"/>
          <w:szCs w:val="18"/>
        </w:rPr>
        <w:t xml:space="preserve">Constrains 'sustainable' and eco claims on seafood packaging and raises the evidentiary bar for certification-based marketing.</w:t>
      </w:r>
    </w:p>
    <w:p>
      <w:pPr>
        <w:spacing w:after="120"/>
      </w:pPr>
      <w:r>
        <w:rPr>
          <w:b/>
          <w:bCs/>
          <w:color w:val="B0470F"/>
          <w:sz w:val="18"/>
          <w:szCs w:val="18"/>
        </w:rPr>
        <w:t xml:space="preserve">⚠ Status flag.  </w:t>
      </w:r>
      <w:r>
        <w:rPr>
          <w:i/>
          <w:iCs/>
          <w:color w:val="7a3214"/>
          <w:sz w:val="18"/>
          <w:szCs w:val="18"/>
        </w:rPr>
        <w:t xml:space="preserve">It is the consumer-law half of the EU greenwashing agenda; the companion Green Claims Directive (substantiation rules) was still in negotiation as of mid-2026 — do not conflate the two.</w:t>
      </w:r>
    </w:p>
    <w:p>
      <w:pPr>
        <w:pStyle w:val="Heading3"/>
        <w:spacing w:after="80" w:before="220"/>
      </w:pPr>
      <w:r>
        <w:t xml:space="preserve">Forced Labour Regulation — Prohibition of products made with forced labour on the Union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2024/3015 — published Dec 2024</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applies from 14 Dec 2027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bfx6dghtaqxx_bgafzl9d">
              <w:r>
                <w:rPr>
                  <w:rStyle w:val="Hyperlink"/>
                  <w:sz w:val="18"/>
                  <w:szCs w:val="18"/>
                </w:rPr>
                <w:t xml:space="preserve">eur-lex.europa.eu — Reg (EU) 2024/3015</w:t>
              </w:r>
            </w:hyperlink>
          </w:p>
        </w:tc>
      </w:tr>
    </w:tbl>
    <w:p>
      <w:pPr>
        <w:spacing w:after="60" w:before="100"/>
      </w:pPr>
      <w:r>
        <w:rPr>
          <w:b/>
          <w:bCs/>
          <w:color w:val="1F3B4D"/>
          <w:sz w:val="18"/>
          <w:szCs w:val="18"/>
        </w:rPr>
        <w:t xml:space="preserve">Objective.  </w:t>
      </w:r>
      <w:r>
        <w:rPr>
          <w:sz w:val="18"/>
          <w:szCs w:val="18"/>
        </w:rPr>
        <w:t xml:space="preserve">Prohibits placing or making available on the EU market — or exporting — any product made with forced labour at any stage of its production, with investigation and enforcement powers for authorities.</w:t>
      </w:r>
    </w:p>
    <w:p>
      <w:pPr>
        <w:spacing w:after="60"/>
      </w:pPr>
      <w:r>
        <w:rPr>
          <w:b/>
          <w:bCs/>
          <w:color w:val="1F3B4D"/>
          <w:sz w:val="18"/>
          <w:szCs w:val="18"/>
        </w:rPr>
        <w:t xml:space="preserve">In the ecosystem.  </w:t>
      </w:r>
      <w:r>
        <w:rPr>
          <w:sz w:val="18"/>
          <w:szCs w:val="18"/>
        </w:rPr>
        <w:t xml:space="preserve">Adds enforcement teeth to forced-labour risk in fishing and processing supply chains; documented due diligence reduces investigation exposure and reinforces S2 value-chain work.</w:t>
      </w:r>
    </w:p>
    <w:p>
      <w:pPr>
        <w:spacing w:after="120"/>
      </w:pPr>
      <w:r>
        <w:rPr>
          <w:b/>
          <w:bCs/>
          <w:color w:val="B0470F"/>
          <w:sz w:val="18"/>
          <w:szCs w:val="18"/>
        </w:rPr>
        <w:t xml:space="preserve">⚠ Status flag.  </w:t>
      </w:r>
      <w:r>
        <w:rPr>
          <w:i/>
          <w:iCs/>
          <w:color w:val="7a3214"/>
          <w:sz w:val="18"/>
          <w:szCs w:val="18"/>
        </w:rPr>
        <w:t xml:space="preserve">Applies from 14 Dec 2027 — it is a future obligation, not yet enforceable. State the date when citing it.</w:t>
      </w:r>
    </w:p>
    <w:p>
      <w:pPr>
        <w:pStyle w:val="Heading3"/>
        <w:spacing w:after="80" w:before="220"/>
      </w:pPr>
      <w:r>
        <w:t xml:space="preserve">General Food Law — General principles and requirements of food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(establishes EFSA and the RASFF alert system)</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(EC) No 178/2002</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(food safety)</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lcg3gulc3iismqelwl5ce">
              <w:r>
                <w:rPr>
                  <w:rStyle w:val="Hyperlink"/>
                  <w:sz w:val="18"/>
                  <w:szCs w:val="18"/>
                </w:rPr>
                <w:t xml:space="preserve">eur-lex.europa.eu — Reg (EC) 178/2002</w:t>
              </w:r>
            </w:hyperlink>
          </w:p>
        </w:tc>
      </w:tr>
    </w:tbl>
    <w:p>
      <w:pPr>
        <w:spacing w:after="60" w:before="100"/>
      </w:pPr>
      <w:r>
        <w:rPr>
          <w:b/>
          <w:bCs/>
          <w:color w:val="1F3B4D"/>
          <w:sz w:val="18"/>
          <w:szCs w:val="18"/>
        </w:rPr>
        <w:t xml:space="preserve">Objective.  </w:t>
      </w:r>
      <w:r>
        <w:rPr>
          <w:sz w:val="18"/>
          <w:szCs w:val="18"/>
        </w:rPr>
        <w:t xml:space="preserve">Lays down general food-safety principles, the 'one-step-back / one-step-forward' traceability duty, and the Rapid Alert System for Food and Feed (RASFF).</w:t>
      </w:r>
    </w:p>
    <w:p>
      <w:pPr>
        <w:spacing w:after="120"/>
      </w:pPr>
      <w:r>
        <w:rPr>
          <w:b/>
          <w:bCs/>
          <w:color w:val="1F3B4D"/>
          <w:sz w:val="18"/>
          <w:szCs w:val="18"/>
        </w:rPr>
        <w:t xml:space="preserve">In the ecosystem.  </w:t>
      </w:r>
      <w:r>
        <w:rPr>
          <w:sz w:val="18"/>
          <w:szCs w:val="18"/>
        </w:rPr>
        <w:t xml:space="preserve">Tier-1 food-integrity baseline; underpins food-safety incident, recall and traceability topics that sit beneath both regulatory and customer (GFSI) demands.</w:t>
      </w:r>
    </w:p>
    <w:p>
      <w:pPr>
        <w:pStyle w:val="Heading3"/>
        <w:spacing w:after="80" w:before="220"/>
      </w:pPr>
      <w:r>
        <w:t xml:space="preserve">OSH Framework Directive — Safety and health of workers at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Directive 89/391/EEC</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transposed nationally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 social)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kyvuqvrgk4c6ogol6r7od">
              <w:r>
                <w:rPr>
                  <w:rStyle w:val="Hyperlink"/>
                  <w:sz w:val="18"/>
                  <w:szCs w:val="18"/>
                </w:rPr>
                <w:t xml:space="preserve">eur-lex.europa.eu — Dir 89/391/EEC</w:t>
              </w:r>
            </w:hyperlink>
          </w:p>
        </w:tc>
      </w:tr>
    </w:tbl>
    <w:p>
      <w:pPr>
        <w:spacing w:after="60" w:before="100"/>
      </w:pPr>
      <w:r>
        <w:rPr>
          <w:b/>
          <w:bCs/>
          <w:color w:val="1F3B4D"/>
          <w:sz w:val="18"/>
          <w:szCs w:val="18"/>
        </w:rPr>
        <w:t xml:space="preserve">Objective.  </w:t>
      </w:r>
      <w:r>
        <w:rPr>
          <w:sz w:val="18"/>
          <w:szCs w:val="18"/>
        </w:rPr>
        <w:t xml:space="preserve">Establishes the employer's general duty to ensure workers' health and safety — risk assessment, prevention principles, information and training.</w:t>
      </w:r>
    </w:p>
    <w:p>
      <w:pPr>
        <w:spacing w:after="120"/>
      </w:pPr>
      <w:r>
        <w:rPr>
          <w:b/>
          <w:bCs/>
          <w:color w:val="1F3B4D"/>
          <w:sz w:val="18"/>
          <w:szCs w:val="18"/>
        </w:rPr>
        <w:t xml:space="preserve">In the ecosystem.  </w:t>
      </w:r>
      <w:r>
        <w:rPr>
          <w:sz w:val="18"/>
          <w:szCs w:val="18"/>
        </w:rPr>
        <w:t xml:space="preserve">Legal baseline behind own-workforce health-and-safety (S1) disclosure; especially salient for cutting lines, machinery and cold stores in seafood processing.</w:t>
      </w:r>
    </w:p>
    <w:p>
      <w:pPr>
        <w:pStyle w:val="Heading3"/>
        <w:spacing w:after="80" w:before="220"/>
      </w:pPr>
      <w:r>
        <w:t xml:space="preserve">Working Time Directive — Organisation of working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Directive 2003/88/EC</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directive; transposed nationally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(horizontal, social)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zphpnxnmobrykuhr3u8g8">
              <w:r>
                <w:rPr>
                  <w:rStyle w:val="Hyperlink"/>
                  <w:sz w:val="18"/>
                  <w:szCs w:val="18"/>
                </w:rPr>
                <w:t xml:space="preserve">eur-lex.europa.eu — Dir 2003/88/EC</w:t>
              </w:r>
            </w:hyperlink>
          </w:p>
        </w:tc>
      </w:tr>
    </w:tbl>
    <w:p>
      <w:pPr>
        <w:spacing w:after="60" w:before="100"/>
      </w:pPr>
      <w:r>
        <w:rPr>
          <w:b/>
          <w:bCs/>
          <w:color w:val="1F3B4D"/>
          <w:sz w:val="18"/>
          <w:szCs w:val="18"/>
        </w:rPr>
        <w:t xml:space="preserve">Objective.  </w:t>
      </w:r>
      <w:r>
        <w:rPr>
          <w:sz w:val="18"/>
          <w:szCs w:val="18"/>
        </w:rPr>
        <w:t xml:space="preserve">Sets minimum requirements for working hours, rest periods, breaks, paid annual leave and night work.</w:t>
      </w:r>
    </w:p>
    <w:p>
      <w:pPr>
        <w:spacing w:after="120"/>
      </w:pPr>
      <w:r>
        <w:rPr>
          <w:b/>
          <w:bCs/>
          <w:color w:val="1F3B4D"/>
          <w:sz w:val="18"/>
          <w:szCs w:val="18"/>
        </w:rPr>
        <w:t xml:space="preserve">In the ecosystem.  </w:t>
      </w:r>
      <w:r>
        <w:rPr>
          <w:sz w:val="18"/>
          <w:szCs w:val="18"/>
        </w:rPr>
        <w:t xml:space="preserve">Underpins the working-conditions elements of own-workforce (S1) disclosure.</w:t>
      </w:r>
    </w:p>
    <w:p>
      <w:pPr>
        <w:pStyle w:val="Heading3"/>
        <w:spacing w:after="80" w:before="220"/>
      </w:pPr>
      <w:r>
        <w:t xml:space="preserve">VMP Regulation — Veterinary Medicinal Products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Regulation (EU) 2019/6 — applies from 2022</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EU regulation; directly applicable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Regulator (sector)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1b5ofvrl7dwjr-ykfk1jq">
              <w:r>
                <w:rPr>
                  <w:rStyle w:val="Hyperlink"/>
                  <w:sz w:val="18"/>
                  <w:szCs w:val="18"/>
                </w:rPr>
                <w:t xml:space="preserve">eur-lex.europa.eu — Reg (EU) 2019/6</w:t>
              </w:r>
            </w:hyperlink>
          </w:p>
        </w:tc>
      </w:tr>
    </w:tbl>
    <w:p>
      <w:pPr>
        <w:spacing w:after="60" w:before="100"/>
      </w:pPr>
      <w:r>
        <w:rPr>
          <w:b/>
          <w:bCs/>
          <w:color w:val="1F3B4D"/>
          <w:sz w:val="18"/>
          <w:szCs w:val="18"/>
        </w:rPr>
        <w:t xml:space="preserve">Objective.  </w:t>
      </w:r>
      <w:r>
        <w:rPr>
          <w:sz w:val="18"/>
          <w:szCs w:val="18"/>
        </w:rPr>
        <w:t xml:space="preserve">Governs authorisation and use of veterinary medicines, including measures to curb antimicrobial use and resistance (e.g. restrictions on prophylactic and metaphylactic antibiotics).</w:t>
      </w:r>
    </w:p>
    <w:p>
      <w:pPr>
        <w:spacing w:after="120"/>
      </w:pPr>
      <w:r>
        <w:rPr>
          <w:b/>
          <w:bCs/>
          <w:color w:val="1F3B4D"/>
          <w:sz w:val="18"/>
          <w:szCs w:val="18"/>
        </w:rPr>
        <w:t xml:space="preserve">In the ecosystem.  </w:t>
      </w:r>
      <w:r>
        <w:rPr>
          <w:sz w:val="18"/>
          <w:szCs w:val="18"/>
        </w:rPr>
        <w:t xml:space="preserve">The regulatory anchor for the aquaculture antimicrobial-use (AMU) topic, alongside the Farm to Fork antimicrobial-reduction target — one of the five structural-gap topics in the matrix.</w:t>
      </w:r>
    </w:p>
    <w:p>
      <w:pPr>
        <w:pStyle w:val="Heading2"/>
        <w:spacing w:after="120" w:before="260"/>
      </w:pPr>
      <w:r>
        <w:t xml:space="preserve">1C · Customer-driven standards &amp; audits</w:t>
      </w:r>
    </w:p>
    <w:p>
      <w:pPr>
        <w:pStyle w:val="Heading3"/>
        <w:spacing w:after="80" w:before="220"/>
      </w:pPr>
      <w:r>
        <w:t xml:space="preserve">MSC — Marine Stewardship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Independent non-profit (founded 1997 by Unilever &amp; WWF; fully independent from 1999), London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1997</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certification — Fisheries Standard + Chain of Custody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thoktkattqbnyevy6vvpz">
              <w:r>
                <w:rPr>
                  <w:rStyle w:val="Hyperlink"/>
                  <w:sz w:val="18"/>
                  <w:szCs w:val="18"/>
                </w:rPr>
                <w:t xml:space="preserve">msc.org</w:t>
              </w:r>
            </w:hyperlink>
          </w:p>
        </w:tc>
      </w:tr>
    </w:tbl>
    <w:p>
      <w:pPr>
        <w:spacing w:after="60" w:before="100"/>
      </w:pPr>
      <w:r>
        <w:rPr>
          <w:b/>
          <w:bCs/>
          <w:color w:val="1F3B4D"/>
          <w:sz w:val="18"/>
          <w:szCs w:val="18"/>
        </w:rPr>
        <w:t xml:space="preserve">Objective.  </w:t>
      </w:r>
      <w:r>
        <w:rPr>
          <w:sz w:val="18"/>
          <w:szCs w:val="18"/>
        </w:rPr>
        <w:t xml:space="preserve">Certifies wild-capture fisheries against a science-based sustainability standard (stock status, ecosystem impact, management) and tracks certified product through the supply chain via a Chain-of-Custody standard, assessed by accredited third-party conformity-assessment bodies.</w:t>
      </w:r>
    </w:p>
    <w:p>
      <w:pPr>
        <w:spacing w:after="60"/>
      </w:pPr>
      <w:r>
        <w:rPr>
          <w:b/>
          <w:bCs/>
          <w:color w:val="1F3B4D"/>
          <w:sz w:val="18"/>
          <w:szCs w:val="18"/>
        </w:rPr>
        <w:t xml:space="preserve">In the ecosystem.  </w:t>
      </w:r>
      <w:r>
        <w:rPr>
          <w:sz w:val="18"/>
          <w:szCs w:val="18"/>
        </w:rPr>
        <w:t xml:space="preserve">A de-facto market licence for many wild-capture retail listings; its Chain of Custody sits squarely on the traceability corridor. Wild-caught scope only.</w:t>
      </w:r>
    </w:p>
    <w:p>
      <w:pPr>
        <w:spacing w:after="120"/>
      </w:pPr>
      <w:r>
        <w:rPr>
          <w:b/>
          <w:bCs/>
          <w:color w:val="2E6E8E"/>
          <w:sz w:val="18"/>
          <w:szCs w:val="18"/>
        </w:rPr>
        <w:t xml:space="preserve">Evidence.  </w:t>
      </w:r>
      <w:r>
        <w:rPr>
          <w:sz w:val="18"/>
          <w:szCs w:val="18"/>
        </w:rPr>
        <w:t xml:space="preserve">Peer-reviewed work links certification to healthier stock indicators — Gutiérrez et al. (2012, PLoS ONE) found the ecolabel conveys reliable stock-health information — though effect-size and selection-bias debates persist (see 'Shifting focus: the impacts of sustainable seafood certification', PLoS ONE). Use as associative, not causal, evidence.</w:t>
      </w:r>
    </w:p>
    <w:p>
      <w:pPr>
        <w:pStyle w:val="Heading3"/>
        <w:spacing w:after="80" w:before="220"/>
      </w:pPr>
      <w:r>
        <w:t xml:space="preserve">ASC — Aquaculture Stewardship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Non-profit (founded 2010 by WWF &amp; IDH), Utrecht</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2010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certification — species standards + Chain of Custody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ktyyeffvah_dnijzzr709">
              <w:r>
                <w:rPr>
                  <w:rStyle w:val="Hyperlink"/>
                  <w:sz w:val="18"/>
                  <w:szCs w:val="18"/>
                </w:rPr>
                <w:t xml:space="preserve">asc-aqua.org</w:t>
              </w:r>
            </w:hyperlink>
          </w:p>
        </w:tc>
      </w:tr>
    </w:tbl>
    <w:p>
      <w:pPr>
        <w:spacing w:after="60" w:before="100"/>
      </w:pPr>
      <w:r>
        <w:rPr>
          <w:b/>
          <w:bCs/>
          <w:color w:val="1F3B4D"/>
          <w:sz w:val="18"/>
          <w:szCs w:val="18"/>
        </w:rPr>
        <w:t xml:space="preserve">Objective.  </w:t>
      </w:r>
      <w:r>
        <w:rPr>
          <w:sz w:val="18"/>
          <w:szCs w:val="18"/>
        </w:rPr>
        <w:t xml:space="preserve">Certifies responsibly farmed seafood against species-specific environmental and social standards (water quality, feed, disease/antimicrobials, labour), with a chain-of-custody linked to the MSC CoC programme.</w:t>
      </w:r>
    </w:p>
    <w:p>
      <w:pPr>
        <w:spacing w:after="60"/>
      </w:pPr>
      <w:r>
        <w:rPr>
          <w:b/>
          <w:bCs/>
          <w:color w:val="1F3B4D"/>
          <w:sz w:val="18"/>
          <w:szCs w:val="18"/>
        </w:rPr>
        <w:t xml:space="preserve">In the ecosystem.  </w:t>
      </w:r>
      <w:r>
        <w:rPr>
          <w:sz w:val="18"/>
          <w:szCs w:val="18"/>
        </w:rPr>
        <w:t xml:space="preserve">Market expectation for farmed seafood such as salmon, shrimp and pangasius; covers welfare, antimicrobials, water and feed. Aquaculture scope only.</w:t>
      </w:r>
    </w:p>
    <w:p>
      <w:pPr>
        <w:spacing w:after="120"/>
      </w:pPr>
      <w:r>
        <w:rPr>
          <w:b/>
          <w:bCs/>
          <w:color w:val="2E6E8E"/>
          <w:sz w:val="18"/>
          <w:szCs w:val="18"/>
        </w:rPr>
        <w:t xml:space="preserve">Evidence.  </w:t>
      </w:r>
      <w:r>
        <w:rPr>
          <w:sz w:val="18"/>
          <w:szCs w:val="18"/>
        </w:rPr>
        <w:t xml:space="preserve">ASC and MSC merged their chain-of-custody programme; for farmed-stock outcome evidence the literature is thinner and more recent than for wild MSC — flag any effectiveness claim as emerging. [LIKELY]</w:t>
      </w:r>
    </w:p>
    <w:p>
      <w:pPr>
        <w:pStyle w:val="Heading3"/>
        <w:spacing w:after="80" w:before="220"/>
      </w:pPr>
      <w:r>
        <w:t xml:space="preserve">BAP — Best Aquaculture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Global Seafood Alliance (formerly Global Aquaculture Alliance), USA</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From 2002 onwards</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certification — multi-star, full-chain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czkrboff_o-rzybw5o4es">
              <w:r>
                <w:rPr>
                  <w:rStyle w:val="Hyperlink"/>
                  <w:sz w:val="18"/>
                  <w:szCs w:val="18"/>
                </w:rPr>
                <w:t xml:space="preserve">bapcertification.org</w:t>
              </w:r>
            </w:hyperlink>
          </w:p>
        </w:tc>
      </w:tr>
    </w:tbl>
    <w:p>
      <w:pPr>
        <w:spacing w:after="60" w:before="100"/>
      </w:pPr>
      <w:r>
        <w:rPr>
          <w:b/>
          <w:bCs/>
          <w:color w:val="1F3B4D"/>
          <w:sz w:val="18"/>
          <w:szCs w:val="18"/>
        </w:rPr>
        <w:t xml:space="preserve">Objective.  </w:t>
      </w:r>
      <w:r>
        <w:rPr>
          <w:sz w:val="18"/>
          <w:szCs w:val="18"/>
        </w:rPr>
        <w:t xml:space="preserve">Certifies aquaculture facilities across the chain — hatchery, farm, feed mill and processing plant — against environmental, social, food-safety and animal-welfare criteria, using a 'star' rating for chain completeness.</w:t>
      </w:r>
    </w:p>
    <w:p>
      <w:pPr>
        <w:spacing w:after="120"/>
      </w:pPr>
      <w:r>
        <w:rPr>
          <w:b/>
          <w:bCs/>
          <w:color w:val="1F3B4D"/>
          <w:sz w:val="18"/>
          <w:szCs w:val="18"/>
        </w:rPr>
        <w:t xml:space="preserve">In the ecosystem.  </w:t>
      </w:r>
      <w:r>
        <w:rPr>
          <w:sz w:val="18"/>
          <w:szCs w:val="18"/>
        </w:rPr>
        <w:t xml:space="preserve">Alternative or complement to ASC and the only major scheme certifying feed mills directly; strong in North American buyer requirements. Aquaculture scope.</w:t>
      </w:r>
    </w:p>
    <w:p>
      <w:pPr>
        <w:pStyle w:val="Heading3"/>
        <w:spacing w:after="80" w:before="220"/>
      </w:pPr>
      <w:r>
        <w:t xml:space="preserve">GLOBALG.A.P. — Good Aquaculture Practice (Aquaculture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FoodPLUS GmbH (origin EUREPGAP, 1997), Germany</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1997 (EUREPGAP) / aquaculture module 2007</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B2B certification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h1o-ygr1kjwkk5-iznqsj">
              <w:r>
                <w:rPr>
                  <w:rStyle w:val="Hyperlink"/>
                  <w:sz w:val="18"/>
                  <w:szCs w:val="18"/>
                </w:rPr>
                <w:t xml:space="preserve">globalgap.org</w:t>
              </w:r>
            </w:hyperlink>
          </w:p>
        </w:tc>
      </w:tr>
    </w:tbl>
    <w:p>
      <w:pPr>
        <w:spacing w:after="60" w:before="100"/>
      </w:pPr>
      <w:r>
        <w:rPr>
          <w:b/>
          <w:bCs/>
          <w:color w:val="1F3B4D"/>
          <w:sz w:val="18"/>
          <w:szCs w:val="18"/>
        </w:rPr>
        <w:t xml:space="preserve">Objective.  </w:t>
      </w:r>
      <w:r>
        <w:rPr>
          <w:sz w:val="18"/>
          <w:szCs w:val="18"/>
        </w:rPr>
        <w:t xml:space="preserve">Business-to-business good-practice certification covering food safety, environmental management and worker welfare at the production stage, with an aquaculture-specific module.</w:t>
      </w:r>
    </w:p>
    <w:p>
      <w:pPr>
        <w:spacing w:after="120"/>
      </w:pPr>
      <w:r>
        <w:rPr>
          <w:b/>
          <w:bCs/>
          <w:color w:val="1F3B4D"/>
          <w:sz w:val="18"/>
          <w:szCs w:val="18"/>
        </w:rPr>
        <w:t xml:space="preserve">In the ecosystem.  </w:t>
      </w:r>
      <w:r>
        <w:rPr>
          <w:sz w:val="18"/>
          <w:szCs w:val="18"/>
        </w:rPr>
        <w:t xml:space="preserve">A common retailer prerequisite, particularly for farmed produce; often the production-stage layer beneath a retailer's social and food-safety asks. Aquaculture scope (for the module in view).</w:t>
      </w:r>
    </w:p>
    <w:p>
      <w:pPr>
        <w:pStyle w:val="Heading3"/>
        <w:spacing w:after="80" w:before="220"/>
      </w:pPr>
      <w:r>
        <w:t xml:space="preserve">Friend of the Sea — Friend of the Sea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World Sustainability Organization (founded 2008), Italy</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certification (wild + farmed)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rhbiuvpkuc0g1nle8cedc">
              <w:r>
                <w:rPr>
                  <w:rStyle w:val="Hyperlink"/>
                  <w:sz w:val="18"/>
                  <w:szCs w:val="18"/>
                </w:rPr>
                <w:t xml:space="preserve">friendofthesea.org</w:t>
              </w:r>
            </w:hyperlink>
          </w:p>
        </w:tc>
      </w:tr>
    </w:tbl>
    <w:p>
      <w:pPr>
        <w:spacing w:after="60" w:before="100"/>
      </w:pPr>
      <w:r>
        <w:rPr>
          <w:b/>
          <w:bCs/>
          <w:color w:val="1F3B4D"/>
          <w:sz w:val="18"/>
          <w:szCs w:val="18"/>
        </w:rPr>
        <w:t xml:space="preserve">Objective.  </w:t>
      </w:r>
      <w:r>
        <w:rPr>
          <w:sz w:val="18"/>
          <w:szCs w:val="18"/>
        </w:rPr>
        <w:t xml:space="preserve">Certifies wild and farmed seafood (and other products) against sustainability criteria, with an ecolabel.</w:t>
      </w:r>
    </w:p>
    <w:p>
      <w:pPr>
        <w:spacing w:after="120"/>
      </w:pPr>
      <w:r>
        <w:rPr>
          <w:b/>
          <w:bCs/>
          <w:color w:val="1F3B4D"/>
          <w:sz w:val="18"/>
          <w:szCs w:val="18"/>
        </w:rPr>
        <w:t xml:space="preserve">In the ecosystem.  </w:t>
      </w:r>
      <w:r>
        <w:rPr>
          <w:sz w:val="18"/>
          <w:szCs w:val="18"/>
        </w:rPr>
        <w:t xml:space="preserve">An additional ecolabel option with lower retail penetration than MSC/ASC but present in the landscape; covers both production systems.</w:t>
      </w:r>
    </w:p>
    <w:p>
      <w:pPr>
        <w:pStyle w:val="Heading3"/>
        <w:spacing w:after="80" w:before="220"/>
      </w:pPr>
      <w:r>
        <w:t xml:space="preserve">IFS Food — International Featured Standards — Food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IFS Management GmbH (German/French/Italian retail origin)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GFSI-benchmarked food-safety certification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6e08v2x_tcu6eykn0ax9v">
              <w:r>
                <w:rPr>
                  <w:rStyle w:val="Hyperlink"/>
                  <w:sz w:val="18"/>
                  <w:szCs w:val="18"/>
                </w:rPr>
                <w:t xml:space="preserve">ifs-certification.com</w:t>
              </w:r>
            </w:hyperlink>
          </w:p>
        </w:tc>
      </w:tr>
    </w:tbl>
    <w:p>
      <w:pPr>
        <w:spacing w:after="60" w:before="100"/>
      </w:pPr>
      <w:r>
        <w:rPr>
          <w:b/>
          <w:bCs/>
          <w:color w:val="1F3B4D"/>
          <w:sz w:val="18"/>
          <w:szCs w:val="18"/>
        </w:rPr>
        <w:t xml:space="preserve">Objective.  </w:t>
      </w:r>
      <w:r>
        <w:rPr>
          <w:sz w:val="18"/>
          <w:szCs w:val="18"/>
        </w:rPr>
        <w:t xml:space="preserve">Certifies food-safety and quality-management systems for processors supplying (mainly continental-European) retail.</w:t>
      </w:r>
    </w:p>
    <w:p>
      <w:pPr>
        <w:spacing w:after="120"/>
      </w:pPr>
      <w:r>
        <w:rPr>
          <w:b/>
          <w:bCs/>
          <w:color w:val="1F3B4D"/>
          <w:sz w:val="18"/>
          <w:szCs w:val="18"/>
        </w:rPr>
        <w:t xml:space="preserve">In the ecosystem.  </w:t>
      </w:r>
      <w:r>
        <w:rPr>
          <w:sz w:val="18"/>
          <w:szCs w:val="18"/>
        </w:rPr>
        <w:t xml:space="preserve">Tier-2 market licence — effectively non-negotiable for retail listing; its supplier-control requirements anchor the supplier-engagement corridor.</w:t>
      </w:r>
    </w:p>
    <w:p>
      <w:pPr>
        <w:pStyle w:val="Heading3"/>
        <w:spacing w:after="80" w:before="220"/>
      </w:pPr>
      <w:r>
        <w:t xml:space="preserve">BRCGS — Brand Reputation Compliance Global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Owned by LGC (formerly British Retail Consortium)</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From 1998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GFSI-benchmarked food-safety certification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4oik-k8wglr9sd3m6bqan">
              <w:r>
                <w:rPr>
                  <w:rStyle w:val="Hyperlink"/>
                  <w:sz w:val="18"/>
                  <w:szCs w:val="18"/>
                </w:rPr>
                <w:t xml:space="preserve">brcgs.com</w:t>
              </w:r>
            </w:hyperlink>
          </w:p>
        </w:tc>
      </w:tr>
    </w:tbl>
    <w:p>
      <w:pPr>
        <w:spacing w:after="60" w:before="100"/>
      </w:pPr>
      <w:r>
        <w:rPr>
          <w:b/>
          <w:bCs/>
          <w:color w:val="1F3B4D"/>
          <w:sz w:val="18"/>
          <w:szCs w:val="18"/>
        </w:rPr>
        <w:t xml:space="preserve">Objective.  </w:t>
      </w:r>
      <w:r>
        <w:rPr>
          <w:sz w:val="18"/>
          <w:szCs w:val="18"/>
        </w:rPr>
        <w:t xml:space="preserve">Global food-safety and quality certification widely required by UK and international retailers.</w:t>
      </w:r>
    </w:p>
    <w:p>
      <w:pPr>
        <w:spacing w:after="120"/>
      </w:pPr>
      <w:r>
        <w:rPr>
          <w:b/>
          <w:bCs/>
          <w:color w:val="1F3B4D"/>
          <w:sz w:val="18"/>
          <w:szCs w:val="18"/>
        </w:rPr>
        <w:t xml:space="preserve">In the ecosystem.  </w:t>
      </w:r>
      <w:r>
        <w:rPr>
          <w:sz w:val="18"/>
          <w:szCs w:val="18"/>
        </w:rPr>
        <w:t xml:space="preserve">A near-substitute for IFS Food with the same market-licence function; buyer choice between them is largely geographic.</w:t>
      </w:r>
    </w:p>
    <w:p>
      <w:pPr>
        <w:pStyle w:val="Heading3"/>
        <w:spacing w:after="80" w:before="220"/>
      </w:pPr>
      <w:r>
        <w:t xml:space="preserve">FSSC 22000 — Food Safety System Certification 22000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Foundation FSSC</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2009 (built on ISO 22000)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GFSI-benchmarked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vzw1l5rhvnznprlnb5bmi">
              <w:r>
                <w:rPr>
                  <w:rStyle w:val="Hyperlink"/>
                  <w:sz w:val="18"/>
                  <w:szCs w:val="18"/>
                </w:rPr>
                <w:t xml:space="preserve">fssc.com</w:t>
              </w:r>
            </w:hyperlink>
          </w:p>
        </w:tc>
      </w:tr>
    </w:tbl>
    <w:p>
      <w:pPr>
        <w:spacing w:after="60" w:before="100"/>
      </w:pPr>
      <w:r>
        <w:rPr>
          <w:b/>
          <w:bCs/>
          <w:color w:val="1F3B4D"/>
          <w:sz w:val="18"/>
          <w:szCs w:val="18"/>
        </w:rPr>
        <w:t xml:space="preserve">Objective.  </w:t>
      </w:r>
      <w:r>
        <w:rPr>
          <w:sz w:val="18"/>
          <w:szCs w:val="18"/>
        </w:rPr>
        <w:t xml:space="preserve">Food-safety system certification combining ISO 22000 with sector-specific prerequisite programmes.</w:t>
      </w:r>
    </w:p>
    <w:p>
      <w:pPr>
        <w:spacing w:after="120"/>
      </w:pPr>
      <w:r>
        <w:rPr>
          <w:b/>
          <w:bCs/>
          <w:color w:val="1F3B4D"/>
          <w:sz w:val="18"/>
          <w:szCs w:val="18"/>
        </w:rPr>
        <w:t xml:space="preserve">In the ecosystem.  </w:t>
      </w:r>
      <w:r>
        <w:rPr>
          <w:sz w:val="18"/>
          <w:szCs w:val="18"/>
        </w:rPr>
        <w:t xml:space="preserve">The third common GFSI-benchmarked option; interchangeable with IFS/BRCGS in most buyer specifications.</w:t>
      </w:r>
    </w:p>
    <w:p>
      <w:pPr>
        <w:pStyle w:val="Heading3"/>
        <w:spacing w:after="80" w:before="220"/>
      </w:pPr>
      <w:r>
        <w:t xml:space="preserve">Sedex / SMETA — Supplier Ethical Data Exchange / Sedex Members Ethical Trade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Sedex — membership platform; SMETA is its audit methodology, UK</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2004</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social-audit platform / methodology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oepvovom4tepfttcltsee">
              <w:r>
                <w:rPr>
                  <w:rStyle w:val="Hyperlink"/>
                  <w:sz w:val="18"/>
                  <w:szCs w:val="18"/>
                </w:rPr>
                <w:t xml:space="preserve">sedex.com</w:t>
              </w:r>
            </w:hyperlink>
          </w:p>
        </w:tc>
      </w:tr>
    </w:tbl>
    <w:p>
      <w:pPr>
        <w:spacing w:after="60" w:before="100"/>
      </w:pPr>
      <w:r>
        <w:rPr>
          <w:b/>
          <w:bCs/>
          <w:color w:val="1F3B4D"/>
          <w:sz w:val="18"/>
          <w:szCs w:val="18"/>
        </w:rPr>
        <w:t xml:space="preserve">Objective.  </w:t>
      </w:r>
      <w:r>
        <w:rPr>
          <w:sz w:val="18"/>
          <w:szCs w:val="18"/>
        </w:rPr>
        <w:t xml:space="preserve">Shares ethical-trade data among members and provides a standard social-audit methodology (SMETA) covering labour, health &amp; safety, environment and business ethics.</w:t>
      </w:r>
    </w:p>
    <w:p>
      <w:pPr>
        <w:spacing w:after="120"/>
      </w:pPr>
      <w:r>
        <w:rPr>
          <w:b/>
          <w:bCs/>
          <w:color w:val="1F3B4D"/>
          <w:sz w:val="18"/>
          <w:szCs w:val="18"/>
        </w:rPr>
        <w:t xml:space="preserve">In the ecosystem.  </w:t>
      </w:r>
      <w:r>
        <w:rPr>
          <w:sz w:val="18"/>
          <w:szCs w:val="18"/>
        </w:rPr>
        <w:t xml:space="preserve">A common retailer-required social audit; feeds S1/S2 worker and H&amp;S topics and sits on the supplier-engagement corridor.</w:t>
      </w:r>
    </w:p>
    <w:p>
      <w:pPr>
        <w:pStyle w:val="Heading3"/>
        <w:spacing w:after="80" w:before="220"/>
      </w:pPr>
      <w:r>
        <w:t xml:space="preserve">EcoVadis — EcoVadis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EcoVadis SAS — private ratings company (founded 2007), France</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2007</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sustainability rating / assessment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9hi7xxxpt9r9x8f4izses">
              <w:r>
                <w:rPr>
                  <w:rStyle w:val="Hyperlink"/>
                  <w:sz w:val="18"/>
                  <w:szCs w:val="18"/>
                </w:rPr>
                <w:t xml:space="preserve">ecovadis.com</w:t>
              </w:r>
            </w:hyperlink>
          </w:p>
        </w:tc>
      </w:tr>
    </w:tbl>
    <w:p>
      <w:pPr>
        <w:spacing w:after="60" w:before="100"/>
      </w:pPr>
      <w:r>
        <w:rPr>
          <w:b/>
          <w:bCs/>
          <w:color w:val="1F3B4D"/>
          <w:sz w:val="18"/>
          <w:szCs w:val="18"/>
        </w:rPr>
        <w:t xml:space="preserve">Objective.  </w:t>
      </w:r>
      <w:r>
        <w:rPr>
          <w:sz w:val="18"/>
          <w:szCs w:val="18"/>
        </w:rPr>
        <w:t xml:space="preserve">Scores suppliers on environment, labour &amp; human rights, ethics and sustainable procurement through a documentation-based assessment yielding a medal/percentile scorecard.</w:t>
      </w:r>
    </w:p>
    <w:p>
      <w:pPr>
        <w:spacing w:after="120"/>
      </w:pPr>
      <w:r>
        <w:rPr>
          <w:b/>
          <w:bCs/>
          <w:color w:val="1F3B4D"/>
          <w:sz w:val="18"/>
          <w:szCs w:val="18"/>
        </w:rPr>
        <w:t xml:space="preserve">In the ecosystem.  </w:t>
      </w:r>
      <w:r>
        <w:rPr>
          <w:sz w:val="18"/>
          <w:szCs w:val="18"/>
        </w:rPr>
        <w:t xml:space="preserve">Frequently requested by large retail and B2B buyers; its broad multi-topic scope makes it a strong hotspot driver in the demand matrix.</w:t>
      </w:r>
    </w:p>
    <w:p>
      <w:pPr>
        <w:pStyle w:val="Heading2"/>
        <w:spacing w:after="120" w:before="260"/>
      </w:pPr>
      <w:r>
        <w:t xml:space="preserve">1D · Investor-driven frameworks</w:t>
      </w:r>
    </w:p>
    <w:p>
      <w:pPr>
        <w:pStyle w:val="Heading3"/>
        <w:spacing w:after="80" w:before="220"/>
      </w:pPr>
      <w:r>
        <w:t xml:space="preserve">CDP — CDP (formerly Carbon Disclosure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CDP — non-profit, UK/global</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disclosure system (investor- and buyer-requested)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rg49_j62kkablrejx2zrf">
              <w:r>
                <w:rPr>
                  <w:rStyle w:val="Hyperlink"/>
                  <w:sz w:val="18"/>
                  <w:szCs w:val="18"/>
                </w:rPr>
                <w:t xml:space="preserve">cdp.net</w:t>
              </w:r>
            </w:hyperlink>
          </w:p>
        </w:tc>
      </w:tr>
    </w:tbl>
    <w:p>
      <w:pPr>
        <w:spacing w:after="60" w:before="100"/>
      </w:pPr>
      <w:r>
        <w:rPr>
          <w:b/>
          <w:bCs/>
          <w:color w:val="1F3B4D"/>
          <w:sz w:val="18"/>
          <w:szCs w:val="18"/>
        </w:rPr>
        <w:t xml:space="preserve">Objective.  </w:t>
      </w:r>
      <w:r>
        <w:rPr>
          <w:sz w:val="18"/>
          <w:szCs w:val="18"/>
        </w:rPr>
        <w:t xml:space="preserve">Runs a global environmental disclosure system (climate, water security, forests) through scored questionnaires (A–D) used by investors and large buyers to request standardised data.</w:t>
      </w:r>
    </w:p>
    <w:p>
      <w:pPr>
        <w:spacing w:after="120"/>
      </w:pPr>
      <w:r>
        <w:rPr>
          <w:b/>
          <w:bCs/>
          <w:color w:val="1F3B4D"/>
          <w:sz w:val="18"/>
          <w:szCs w:val="18"/>
        </w:rPr>
        <w:t xml:space="preserve">In the ecosystem.  </w:t>
      </w:r>
      <w:r>
        <w:rPr>
          <w:sz w:val="18"/>
          <w:szCs w:val="18"/>
        </w:rPr>
        <w:t xml:space="preserve">A common investor and large-customer climate &amp; water questionnaire; strong overlap with GHG and water topics, and a frequent conduit by which buyer demand reaches the SME.</w:t>
      </w:r>
    </w:p>
    <w:p>
      <w:pPr>
        <w:pStyle w:val="Heading3"/>
        <w:spacing w:after="80" w:before="220"/>
      </w:pPr>
      <w:r>
        <w:t xml:space="preserve">SBTi — Science Based Targets initiative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by CDP, UN Global Compact, WRI and WWF (now an incorporated entity)</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2015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target-validation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wgcbglbfrd0vosiyotrkh">
              <w:r>
                <w:rPr>
                  <w:rStyle w:val="Hyperlink"/>
                  <w:sz w:val="18"/>
                  <w:szCs w:val="18"/>
                </w:rPr>
                <w:t xml:space="preserve">sciencebasedtargets.org</w:t>
              </w:r>
            </w:hyperlink>
          </w:p>
        </w:tc>
      </w:tr>
    </w:tbl>
    <w:p>
      <w:pPr>
        <w:spacing w:after="60" w:before="100"/>
      </w:pPr>
      <w:r>
        <w:rPr>
          <w:b/>
          <w:bCs/>
          <w:color w:val="1F3B4D"/>
          <w:sz w:val="18"/>
          <w:szCs w:val="18"/>
        </w:rPr>
        <w:t xml:space="preserve">Objective.  </w:t>
      </w:r>
      <w:r>
        <w:rPr>
          <w:sz w:val="18"/>
          <w:szCs w:val="18"/>
        </w:rPr>
        <w:t xml:space="preserve">Defines and independently validates corporate emissions-reduction targets aligned with climate science (1.5°C pathways), including FLAG (Forest, Land and Agriculture) guidance relevant to feed and protein.</w:t>
      </w:r>
    </w:p>
    <w:p>
      <w:pPr>
        <w:spacing w:after="120"/>
      </w:pPr>
      <w:r>
        <w:rPr>
          <w:b/>
          <w:bCs/>
          <w:color w:val="1F3B4D"/>
          <w:sz w:val="18"/>
          <w:szCs w:val="18"/>
        </w:rPr>
        <w:t xml:space="preserve">In the ecosystem.  </w:t>
      </w:r>
      <w:r>
        <w:rPr>
          <w:sz w:val="18"/>
          <w:szCs w:val="18"/>
        </w:rPr>
        <w:t xml:space="preserve">Signals a proactive climate posture; validated targets feed CDP and ESRS E1 climate disclosure.</w:t>
      </w:r>
    </w:p>
    <w:p>
      <w:pPr>
        <w:pStyle w:val="Heading3"/>
        <w:spacing w:after="80" w:before="220"/>
      </w:pPr>
      <w:r>
        <w:t xml:space="preserve">TCFD — Task Force on Climate-related Financial Disclosures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Established by the Financial Stability Board; monitoring transferred to the ISSB in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Created 2015; recommendations 2017</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recommendations — now largely absorbed into IFRS S2  ·  Asker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bgmabdkxc4-iszlayyjek">
              <w:r>
                <w:rPr>
                  <w:rStyle w:val="Hyperlink"/>
                  <w:sz w:val="18"/>
                  <w:szCs w:val="18"/>
                </w:rPr>
                <w:t xml:space="preserve">fsb-tcfd.org</w:t>
              </w:r>
            </w:hyperlink>
          </w:p>
        </w:tc>
      </w:tr>
    </w:tbl>
    <w:p>
      <w:pPr>
        <w:spacing w:after="60" w:before="100"/>
      </w:pPr>
      <w:r>
        <w:rPr>
          <w:b/>
          <w:bCs/>
          <w:color w:val="1F3B4D"/>
          <w:sz w:val="18"/>
          <w:szCs w:val="18"/>
        </w:rPr>
        <w:t xml:space="preserve">Objective.  </w:t>
      </w:r>
      <w:r>
        <w:rPr>
          <w:sz w:val="18"/>
          <w:szCs w:val="18"/>
        </w:rPr>
        <w:t xml:space="preserve">Provided a four-pillar framework — governance, strategy, risk management, and metrics &amp; targets — for climate-related financial disclosure.</w:t>
      </w:r>
    </w:p>
    <w:p>
      <w:pPr>
        <w:spacing w:after="120"/>
      </w:pPr>
      <w:r>
        <w:rPr>
          <w:b/>
          <w:bCs/>
          <w:color w:val="1F3B4D"/>
          <w:sz w:val="18"/>
          <w:szCs w:val="18"/>
        </w:rPr>
        <w:t xml:space="preserve">In the ecosystem.  </w:t>
      </w:r>
      <w:r>
        <w:rPr>
          <w:sz w:val="18"/>
          <w:szCs w:val="18"/>
        </w:rPr>
        <w:t xml:space="preserve">The conceptual backbone now carried forward by IFRS S2 and ESRS E1; the standalone task force was disbanded after 2023, so treat it as legacy architecture rather than a live ask.</w:t>
      </w:r>
    </w:p>
    <w:p>
      <w:pPr>
        <w:pStyle w:val="Heading3"/>
        <w:spacing w:after="80" w:before="220"/>
      </w:pPr>
      <w:r>
        <w:t xml:space="preserve">IFRS S1 / S2 — ISSB Sustainability &amp; Climate Disclosure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International Sustainability Standards Board, under the IFRS Foundation (created at COP26, 2021)</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Standards issued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baseline; becoming mandatory via national adoption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u_y9ohm8blild83a8a2tc">
              <w:r>
                <w:rPr>
                  <w:rStyle w:val="Hyperlink"/>
                  <w:sz w:val="18"/>
                  <w:szCs w:val="18"/>
                </w:rPr>
                <w:t xml:space="preserve">ifrs.org — ISSB</w:t>
              </w:r>
            </w:hyperlink>
          </w:p>
        </w:tc>
      </w:tr>
    </w:tbl>
    <w:p>
      <w:pPr>
        <w:spacing w:after="60" w:before="100"/>
      </w:pPr>
      <w:r>
        <w:rPr>
          <w:b/>
          <w:bCs/>
          <w:color w:val="1F3B4D"/>
          <w:sz w:val="18"/>
          <w:szCs w:val="18"/>
        </w:rPr>
        <w:t xml:space="preserve">Objective.  </w:t>
      </w:r>
      <w:r>
        <w:rPr>
          <w:sz w:val="18"/>
          <w:szCs w:val="18"/>
        </w:rPr>
        <w:t xml:space="preserve">A global baseline of investor-focused disclosure: S1 (general sustainability-related financial information) and S2 (climate), on a financial-materiality ('outside-in') basis.</w:t>
      </w:r>
    </w:p>
    <w:p>
      <w:pPr>
        <w:spacing w:after="120"/>
      </w:pPr>
      <w:r>
        <w:rPr>
          <w:b/>
          <w:bCs/>
          <w:color w:val="1F3B4D"/>
          <w:sz w:val="18"/>
          <w:szCs w:val="18"/>
        </w:rPr>
        <w:t xml:space="preserve">In the ecosystem.  </w:t>
      </w:r>
      <w:r>
        <w:rPr>
          <w:sz w:val="18"/>
          <w:szCs w:val="18"/>
        </w:rPr>
        <w:t xml:space="preserve">The capital-market counterpart to ESRS; most relevant where a seafood firm has an internationally listed parent or investors in adopting jurisdictions.</w:t>
      </w:r>
    </w:p>
    <w:p>
      <w:pPr>
        <w:pStyle w:val="Heading3"/>
        <w:spacing w:after="80" w:before="220"/>
      </w:pPr>
      <w:r>
        <w:t xml:space="preserve">SASB Standards — Sustainability Accounting Standards Board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Now under the ISSB / IFRS Foundation (via the 2022 Value Reporting Foundation merger)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Codified 2018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industry-specific metrics  ·  Asker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32uidbhk6yl9-e87jcycu">
              <w:r>
                <w:rPr>
                  <w:rStyle w:val="Hyperlink"/>
                  <w:sz w:val="18"/>
                  <w:szCs w:val="18"/>
                </w:rPr>
                <w:t xml:space="preserve">sasb.ifrs.org</w:t>
              </w:r>
            </w:hyperlink>
          </w:p>
        </w:tc>
      </w:tr>
    </w:tbl>
    <w:p>
      <w:pPr>
        <w:spacing w:after="60" w:before="100"/>
      </w:pPr>
      <w:r>
        <w:rPr>
          <w:b/>
          <w:bCs/>
          <w:color w:val="1F3B4D"/>
          <w:sz w:val="18"/>
          <w:szCs w:val="18"/>
        </w:rPr>
        <w:t xml:space="preserve">Objective.  </w:t>
      </w:r>
      <w:r>
        <w:rPr>
          <w:sz w:val="18"/>
          <w:szCs w:val="18"/>
        </w:rPr>
        <w:t xml:space="preserve">Industry-specific, financially-material sustainability metrics, including an agriculture/protein lens.</w:t>
      </w:r>
    </w:p>
    <w:p>
      <w:pPr>
        <w:spacing w:after="120"/>
      </w:pPr>
      <w:r>
        <w:rPr>
          <w:b/>
          <w:bCs/>
          <w:color w:val="1F3B4D"/>
          <w:sz w:val="18"/>
          <w:szCs w:val="18"/>
        </w:rPr>
        <w:t xml:space="preserve">In the ecosystem.  </w:t>
      </w:r>
      <w:r>
        <w:rPr>
          <w:sz w:val="18"/>
          <w:szCs w:val="18"/>
        </w:rPr>
        <w:t xml:space="preserve">Feeds investor metric expectations and now underpins the industry guidance within the ISSB standards rather than operating as a separate ask.</w:t>
      </w:r>
    </w:p>
    <w:p>
      <w:pPr>
        <w:pStyle w:val="Heading3"/>
        <w:spacing w:after="80" w:before="220"/>
      </w:pPr>
      <w:r>
        <w:t xml:space="preserve">Coller FAIRR — Coller FAIRR Protein Producer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FAIRR Initiative — investor network founded by Jeremy Coller (2015)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Index since 2018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investor benchmark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mhgm_klipw0wvylealyy0">
              <w:r>
                <w:rPr>
                  <w:rStyle w:val="Hyperlink"/>
                  <w:sz w:val="18"/>
                  <w:szCs w:val="18"/>
                </w:rPr>
                <w:t xml:space="preserve">fairr.org</w:t>
              </w:r>
            </w:hyperlink>
          </w:p>
        </w:tc>
      </w:tr>
    </w:tbl>
    <w:p>
      <w:pPr>
        <w:spacing w:after="60" w:before="100"/>
      </w:pPr>
      <w:r>
        <w:rPr>
          <w:b/>
          <w:bCs/>
          <w:color w:val="1F3B4D"/>
          <w:sz w:val="18"/>
          <w:szCs w:val="18"/>
        </w:rPr>
        <w:t xml:space="preserve">Objective.  </w:t>
      </w:r>
      <w:r>
        <w:rPr>
          <w:sz w:val="18"/>
          <w:szCs w:val="18"/>
        </w:rPr>
        <w:t xml:space="preserve">Ranks the largest listed animal-protein producers (including aquaculture) on ESG risk factors — feed, antibiotics, welfare, emissions, deforestation — for investor use.</w:t>
      </w:r>
    </w:p>
    <w:p>
      <w:pPr>
        <w:spacing w:after="120"/>
      </w:pPr>
      <w:r>
        <w:rPr>
          <w:b/>
          <w:bCs/>
          <w:color w:val="1F3B4D"/>
          <w:sz w:val="18"/>
          <w:szCs w:val="18"/>
        </w:rPr>
        <w:t xml:space="preserve">In the ecosystem.  </w:t>
      </w:r>
      <w:r>
        <w:rPr>
          <w:sz w:val="18"/>
          <w:szCs w:val="18"/>
        </w:rPr>
        <w:t xml:space="preserve">Sector-specific investor scrutiny that a firm is rated by rather than a member of; directly relevant for large/listed producers, largely out of scope for an unlisted 50–250-employee SME.</w:t>
      </w:r>
    </w:p>
    <w:p>
      <w:pPr>
        <w:pStyle w:val="Heading3"/>
        <w:spacing w:after="80" w:before="220"/>
      </w:pPr>
      <w:r>
        <w:t xml:space="preserve">DJSI — Dow Jones Sustainability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S&amp;P Global (Corporate Sustainability Assessment)</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Since 1999</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investor index / assessment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6kwwlwkgahi13zrh7i_st">
              <w:r>
                <w:rPr>
                  <w:rStyle w:val="Hyperlink"/>
                  <w:sz w:val="18"/>
                  <w:szCs w:val="18"/>
                </w:rPr>
                <w:t xml:space="preserve">spglobal.com — CSA</w:t>
              </w:r>
            </w:hyperlink>
          </w:p>
        </w:tc>
      </w:tr>
    </w:tbl>
    <w:p>
      <w:pPr>
        <w:spacing w:after="60" w:before="100"/>
      </w:pPr>
      <w:r>
        <w:rPr>
          <w:b/>
          <w:bCs/>
          <w:color w:val="1F3B4D"/>
          <w:sz w:val="18"/>
          <w:szCs w:val="18"/>
        </w:rPr>
        <w:t xml:space="preserve">Objective.  </w:t>
      </w:r>
      <w:r>
        <w:rPr>
          <w:sz w:val="18"/>
          <w:szCs w:val="18"/>
        </w:rPr>
        <w:t xml:space="preserve">Selects index constituents via an annual Corporate Sustainability Assessment scoring ESG performance.</w:t>
      </w:r>
    </w:p>
    <w:p>
      <w:pPr>
        <w:spacing w:after="120"/>
      </w:pPr>
      <w:r>
        <w:rPr>
          <w:b/>
          <w:bCs/>
          <w:color w:val="1F3B4D"/>
          <w:sz w:val="18"/>
          <w:szCs w:val="18"/>
        </w:rPr>
        <w:t xml:space="preserve">In the ecosystem.  </w:t>
      </w:r>
      <w:r>
        <w:rPr>
          <w:sz w:val="18"/>
          <w:szCs w:val="18"/>
        </w:rPr>
        <w:t xml:space="preserve">Relevant mainly to large listed parents; signals investor-grade ESG performance and is, like FAIRR, a rating-of rather than a membership.</w:t>
      </w:r>
    </w:p>
    <w:p>
      <w:pPr>
        <w:pStyle w:val="Heading3"/>
        <w:spacing w:after="80" w:before="220"/>
      </w:pPr>
      <w:r>
        <w:t xml:space="preserve">TNFD — Taskforce on Nature-related Financial Disclosures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Market-led, government-backed taskforce (launched 2021)</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Recommendations finalised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recommendations  ·  Asker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Investor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2suwi-iwyaem_3zvjsanh">
              <w:r>
                <w:rPr>
                  <w:rStyle w:val="Hyperlink"/>
                  <w:sz w:val="18"/>
                  <w:szCs w:val="18"/>
                </w:rPr>
                <w:t xml:space="preserve">tnfd.global</w:t>
              </w:r>
            </w:hyperlink>
          </w:p>
        </w:tc>
      </w:tr>
    </w:tbl>
    <w:p>
      <w:pPr>
        <w:spacing w:after="60" w:before="100"/>
      </w:pPr>
      <w:r>
        <w:rPr>
          <w:b/>
          <w:bCs/>
          <w:color w:val="1F3B4D"/>
          <w:sz w:val="18"/>
          <w:szCs w:val="18"/>
        </w:rPr>
        <w:t xml:space="preserve">Objective.  </w:t>
      </w:r>
      <w:r>
        <w:rPr>
          <w:sz w:val="18"/>
          <w:szCs w:val="18"/>
        </w:rPr>
        <w:t xml:space="preserve">A framework (the LEAP approach) for assessing and disclosing nature- and biodiversity-related dependencies, impacts, risks and opportunities.</w:t>
      </w:r>
    </w:p>
    <w:p>
      <w:pPr>
        <w:spacing w:after="120"/>
      </w:pPr>
      <w:r>
        <w:rPr>
          <w:b/>
          <w:bCs/>
          <w:color w:val="1F3B4D"/>
          <w:sz w:val="18"/>
          <w:szCs w:val="18"/>
        </w:rPr>
        <w:t xml:space="preserve">In the ecosystem.  </w:t>
      </w:r>
      <w:r>
        <w:rPr>
          <w:sz w:val="18"/>
          <w:szCs w:val="18"/>
        </w:rPr>
        <w:t xml:space="preserve">The emerging biodiversity/ecosystem lens, highly relevant to marine impacts and dependencies (E4); an EFRAG–TNFD correspondence mapping links it to ESRS.</w:t>
      </w:r>
    </w:p>
    <w:p>
      <w:pPr>
        <w:pStyle w:val="Heading2"/>
        <w:spacing w:after="120" w:before="260"/>
      </w:pPr>
      <w:r>
        <w:t xml:space="preserve">1E · Industry / NGO voluntary frameworks</w:t>
      </w:r>
    </w:p>
    <w:p>
      <w:pPr>
        <w:pStyle w:val="Heading3"/>
        <w:spacing w:after="80" w:before="220"/>
      </w:pPr>
      <w:r>
        <w:t xml:space="preserve">GRI — GRI Standards (incl. GRI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Global Reporting Initiative — independent standards body (founded 1997), Amsterdam</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GRI 13 'Agriculture, Aquaculture and Fishing Sectors', 2022</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reporting standards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kdogqfr32teyzmflrelti">
              <w:r>
                <w:rPr>
                  <w:rStyle w:val="Hyperlink"/>
                  <w:sz w:val="18"/>
                  <w:szCs w:val="18"/>
                </w:rPr>
                <w:t xml:space="preserve">globalreporting.org</w:t>
              </w:r>
            </w:hyperlink>
          </w:p>
        </w:tc>
      </w:tr>
    </w:tbl>
    <w:p>
      <w:pPr>
        <w:spacing w:after="60" w:before="100"/>
      </w:pPr>
      <w:r>
        <w:rPr>
          <w:b/>
          <w:bCs/>
          <w:color w:val="1F3B4D"/>
          <w:sz w:val="18"/>
          <w:szCs w:val="18"/>
        </w:rPr>
        <w:t xml:space="preserve">Objective.  </w:t>
      </w:r>
      <w:r>
        <w:rPr>
          <w:sz w:val="18"/>
          <w:szCs w:val="18"/>
        </w:rPr>
        <w:t xml:space="preserve">The most widely used global sustainability-reporting standards, on an impact ('inside-out') materiality basis; GRI 13 enumerates the topics likely material to the agriculture, aquaculture and fishing sector.</w:t>
      </w:r>
    </w:p>
    <w:p>
      <w:pPr>
        <w:spacing w:after="120"/>
      </w:pPr>
      <w:r>
        <w:rPr>
          <w:b/>
          <w:bCs/>
          <w:color w:val="1F3B4D"/>
          <w:sz w:val="18"/>
          <w:szCs w:val="18"/>
        </w:rPr>
        <w:t xml:space="preserve">In the ecosystem.  </w:t>
      </w:r>
      <w:r>
        <w:rPr>
          <w:sz w:val="18"/>
          <w:szCs w:val="18"/>
        </w:rPr>
        <w:t xml:space="preserve">The sector-materiality benchmark used in this thesis's topic-universe cross-check and the single most seafood-relevant existing disclosure map; an EFRAG–GRI interoperability index (Nov 2024) aligns GRI with ESRS.</w:t>
      </w:r>
    </w:p>
    <w:p>
      <w:pPr>
        <w:pStyle w:val="Heading3"/>
        <w:spacing w:after="80" w:before="220"/>
      </w:pPr>
      <w:r>
        <w:t xml:space="preserve">UN Global Compact — United Nations Global Compact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United Nations</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corporate-citizenship initiative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889x9jztlndqzc3yjarab">
              <w:r>
                <w:rPr>
                  <w:rStyle w:val="Hyperlink"/>
                  <w:sz w:val="18"/>
                  <w:szCs w:val="18"/>
                </w:rPr>
                <w:t xml:space="preserve">unglobalcompact.org</w:t>
              </w:r>
            </w:hyperlink>
          </w:p>
        </w:tc>
      </w:tr>
    </w:tbl>
    <w:p>
      <w:pPr>
        <w:spacing w:after="60" w:before="100"/>
      </w:pPr>
      <w:r>
        <w:rPr>
          <w:b/>
          <w:bCs/>
          <w:color w:val="1F3B4D"/>
          <w:sz w:val="18"/>
          <w:szCs w:val="18"/>
        </w:rPr>
        <w:t xml:space="preserve">Objective.  </w:t>
      </w:r>
      <w:r>
        <w:rPr>
          <w:sz w:val="18"/>
          <w:szCs w:val="18"/>
        </w:rPr>
        <w:t xml:space="preserve">Commits signatories to ten principles on human rights, labour, environment and anti-corruption, with an annual Communication on Progress.</w:t>
      </w:r>
    </w:p>
    <w:p>
      <w:pPr>
        <w:spacing w:after="120"/>
      </w:pPr>
      <w:r>
        <w:rPr>
          <w:b/>
          <w:bCs/>
          <w:color w:val="1F3B4D"/>
          <w:sz w:val="18"/>
          <w:szCs w:val="18"/>
        </w:rPr>
        <w:t xml:space="preserve">In the ecosystem.  </w:t>
      </w:r>
      <w:r>
        <w:rPr>
          <w:sz w:val="18"/>
          <w:szCs w:val="18"/>
        </w:rPr>
        <w:t xml:space="preserve">A common voluntary commitment and normative reference for governance and social topics; entry-level credibility signal rather than a data standard.</w:t>
      </w:r>
    </w:p>
    <w:p>
      <w:pPr>
        <w:pStyle w:val="Heading3"/>
        <w:spacing w:after="80" w:before="220"/>
      </w:pPr>
      <w:r>
        <w:t xml:space="preserve">Move to Minus 15 — Move to −15 °C Coalition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coalition (convened with DP World and supply-chain partners)</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Initiated 2023</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initiative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k-xx45ysvuqrawiuowapv">
              <w:r>
                <w:rPr>
                  <w:rStyle w:val="Hyperlink"/>
                  <w:sz w:val="18"/>
                  <w:szCs w:val="18"/>
                </w:rPr>
                <w:t xml:space="preserve">movetominus15.com</w:t>
              </w:r>
            </w:hyperlink>
          </w:p>
        </w:tc>
      </w:tr>
    </w:tbl>
    <w:p>
      <w:pPr>
        <w:spacing w:after="60" w:before="100"/>
      </w:pPr>
      <w:r>
        <w:rPr>
          <w:b/>
          <w:bCs/>
          <w:color w:val="1F3B4D"/>
          <w:sz w:val="18"/>
          <w:szCs w:val="18"/>
        </w:rPr>
        <w:t xml:space="preserve">Objective.  </w:t>
      </w:r>
      <w:r>
        <w:rPr>
          <w:sz w:val="18"/>
          <w:szCs w:val="18"/>
        </w:rPr>
        <w:t xml:space="preserve">A coalition exploring raising the frozen-food storage standard from −18 °C to −15 °C to cut energy use and emissions without compromising safety.</w:t>
      </w:r>
    </w:p>
    <w:p>
      <w:pPr>
        <w:spacing w:after="60"/>
      </w:pPr>
      <w:r>
        <w:rPr>
          <w:b/>
          <w:bCs/>
          <w:color w:val="1F3B4D"/>
          <w:sz w:val="18"/>
          <w:szCs w:val="18"/>
        </w:rPr>
        <w:t xml:space="preserve">In the ecosystem.  </w:t>
      </w:r>
      <w:r>
        <w:rPr>
          <w:sz w:val="18"/>
          <w:szCs w:val="18"/>
        </w:rPr>
        <w:t xml:space="preserve">A sector-decarbonisation initiative touching energy (E1) and cold-chain operations; directly relevant to frozen-seafood logistics.</w:t>
      </w:r>
    </w:p>
    <w:p>
      <w:pPr>
        <w:spacing w:after="120"/>
      </w:pPr>
      <w:r>
        <w:rPr>
          <w:b/>
          <w:bCs/>
          <w:color w:val="B0470F"/>
          <w:sz w:val="18"/>
          <w:szCs w:val="18"/>
        </w:rPr>
        <w:t xml:space="preserve">⚠ Status flag.  </w:t>
      </w:r>
      <w:r>
        <w:rPr>
          <w:i/>
          <w:iCs/>
          <w:color w:val="7a3214"/>
          <w:sz w:val="18"/>
          <w:szCs w:val="18"/>
        </w:rPr>
        <w:t xml:space="preserve">Governance and the evidence base are still developing; treat membership/standard details as [ASSUMPTION] and verify before citing.</w:t>
      </w:r>
    </w:p>
    <w:p>
      <w:pPr>
        <w:pStyle w:val="Heading3"/>
        <w:spacing w:after="80" w:before="220"/>
      </w:pPr>
      <w:r>
        <w:t xml:space="preserve">ISSF — International Seafood Sustainability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Science-and-industry partnership (scientists, tuna processors, WWF)</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2009</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(tuna-focused)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83ab9qbz9gkvcvz4bwepk">
              <w:r>
                <w:rPr>
                  <w:rStyle w:val="Hyperlink"/>
                  <w:sz w:val="18"/>
                  <w:szCs w:val="18"/>
                </w:rPr>
                <w:t xml:space="preserve">iss-foundation.org</w:t>
              </w:r>
            </w:hyperlink>
          </w:p>
        </w:tc>
      </w:tr>
    </w:tbl>
    <w:p>
      <w:pPr>
        <w:spacing w:after="60" w:before="100"/>
      </w:pPr>
      <w:r>
        <w:rPr>
          <w:b/>
          <w:bCs/>
          <w:color w:val="1F3B4D"/>
          <w:sz w:val="18"/>
          <w:szCs w:val="18"/>
        </w:rPr>
        <w:t xml:space="preserve">Objective.  </w:t>
      </w:r>
      <w:r>
        <w:rPr>
          <w:sz w:val="18"/>
          <w:szCs w:val="18"/>
        </w:rPr>
        <w:t xml:space="preserve">Promotes science-based tuna conservation and vessel/processor compliance measures, including the ProActive Vessel Register and audited conservation measures.</w:t>
      </w:r>
    </w:p>
    <w:p>
      <w:pPr>
        <w:spacing w:after="120"/>
      </w:pPr>
      <w:r>
        <w:rPr>
          <w:b/>
          <w:bCs/>
          <w:color w:val="1F3B4D"/>
          <w:sz w:val="18"/>
          <w:szCs w:val="18"/>
        </w:rPr>
        <w:t xml:space="preserve">In the ecosystem.  </w:t>
      </w:r>
      <w:r>
        <w:rPr>
          <w:sz w:val="18"/>
          <w:szCs w:val="18"/>
        </w:rPr>
        <w:t xml:space="preserve">Tuna-specific; relevant only to canned-tuna processors. Wild-caught scope.</w:t>
      </w:r>
    </w:p>
    <w:p>
      <w:pPr>
        <w:pStyle w:val="Heading3"/>
        <w:spacing w:after="80" w:before="220"/>
      </w:pPr>
      <w:r>
        <w:t xml:space="preserve">FIPs / FisheryProgress — Fishery Improvement Projects / FisheryProgress.org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FisheryProgress.org operated by FishChoice in partnership with the Sustainable Fisheries Partnership (SFP)</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Platform from ~2017</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improvement mechanism (not a certification)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jfeeh85jvp9fipmkr2wxz">
              <w:r>
                <w:rPr>
                  <w:rStyle w:val="Hyperlink"/>
                  <w:sz w:val="18"/>
                  <w:szCs w:val="18"/>
                </w:rPr>
                <w:t xml:space="preserve">fisheryprogress.org</w:t>
              </w:r>
            </w:hyperlink>
          </w:p>
        </w:tc>
      </w:tr>
    </w:tbl>
    <w:p>
      <w:pPr>
        <w:spacing w:after="60" w:before="100"/>
      </w:pPr>
      <w:r>
        <w:rPr>
          <w:b/>
          <w:bCs/>
          <w:color w:val="1F3B4D"/>
          <w:sz w:val="18"/>
          <w:szCs w:val="18"/>
        </w:rPr>
        <w:t xml:space="preserve">Objective.  </w:t>
      </w:r>
      <w:r>
        <w:rPr>
          <w:sz w:val="18"/>
          <w:szCs w:val="18"/>
        </w:rPr>
        <w:t xml:space="preserve">Time-bound, multi-stakeholder projects that move a fishery toward sustainability, with public progress tracking on a central platform; many are engineered toward an eventual MSC assessment.</w:t>
      </w:r>
    </w:p>
    <w:p>
      <w:pPr>
        <w:spacing w:after="60"/>
      </w:pPr>
      <w:r>
        <w:rPr>
          <w:b/>
          <w:bCs/>
          <w:color w:val="1F3B4D"/>
          <w:sz w:val="18"/>
          <w:szCs w:val="18"/>
        </w:rPr>
        <w:t xml:space="preserve">In the ecosystem.  </w:t>
      </w:r>
      <w:r>
        <w:rPr>
          <w:sz w:val="18"/>
          <w:szCs w:val="18"/>
        </w:rPr>
        <w:t xml:space="preserve">A sourcing pathway for not-yet-certified fisheries and buyer-recognised improvement evidence — but because FIP requirements largely derive from MSC, it is treated as a non-independent signal (collapsed with MSC) in the convergence count, while its lower strength is reflected by a reduced independence weight. Wild scope.</w:t>
      </w:r>
    </w:p>
    <w:p>
      <w:pPr>
        <w:spacing w:after="120"/>
      </w:pPr>
      <w:r>
        <w:rPr>
          <w:b/>
          <w:bCs/>
          <w:color w:val="2E6E8E"/>
          <w:sz w:val="18"/>
          <w:szCs w:val="18"/>
        </w:rPr>
        <w:t xml:space="preserve">Evidence.  </w:t>
      </w:r>
      <w:r>
        <w:rPr>
          <w:sz w:val="18"/>
          <w:szCs w:val="18"/>
        </w:rPr>
        <w:t xml:space="preserve">FIP effectiveness is contested in the literature: reviews flag stalled progress and weak accountability once market access is gained ('Shifting focus: the impacts of sustainable seafood certification', PLoS ONE). Present FIP participation as intent, not outcome.</w:t>
      </w:r>
    </w:p>
    <w:p>
      <w:pPr>
        <w:pStyle w:val="Heading3"/>
        <w:spacing w:after="80" w:before="220"/>
      </w:pPr>
      <w:r>
        <w:t xml:space="preserve">SeaBOS — Seafood Business for Ocean Stewardship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Science–business initiative linked to the Stockholm Resilience Centre</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2016</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CEO-level coalition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j-kf7mc7tef9vomkuhjlc">
              <w:r>
                <w:rPr>
                  <w:rStyle w:val="Hyperlink"/>
                  <w:sz w:val="18"/>
                  <w:szCs w:val="18"/>
                </w:rPr>
                <w:t xml:space="preserve">seabos.org</w:t>
              </w:r>
            </w:hyperlink>
          </w:p>
        </w:tc>
      </w:tr>
    </w:tbl>
    <w:p>
      <w:pPr>
        <w:spacing w:after="60" w:before="100"/>
      </w:pPr>
      <w:r>
        <w:rPr>
          <w:b/>
          <w:bCs/>
          <w:color w:val="1F3B4D"/>
          <w:sz w:val="18"/>
          <w:szCs w:val="18"/>
        </w:rPr>
        <w:t xml:space="preserve">Objective.  </w:t>
      </w:r>
      <w:r>
        <w:rPr>
          <w:sz w:val="18"/>
          <w:szCs w:val="18"/>
        </w:rPr>
        <w:t xml:space="preserve">Connects the largest ('keystone') seafood companies with science to drive ocean stewardship on IUU fishing, traceability and climate.</w:t>
      </w:r>
    </w:p>
    <w:p>
      <w:pPr>
        <w:spacing w:after="120"/>
      </w:pPr>
      <w:r>
        <w:rPr>
          <w:b/>
          <w:bCs/>
          <w:color w:val="1F3B4D"/>
          <w:sz w:val="18"/>
          <w:szCs w:val="18"/>
        </w:rPr>
        <w:t xml:space="preserve">In the ecosystem.  </w:t>
      </w:r>
      <w:r>
        <w:rPr>
          <w:sz w:val="18"/>
          <w:szCs w:val="18"/>
        </w:rPr>
        <w:t xml:space="preserve">A large-player, agenda-setting initiative rather than an SME-facing demand; useful as a direction-of-travel reference, aspirational for a 50–250-employee firm.</w:t>
      </w:r>
    </w:p>
    <w:p>
      <w:pPr>
        <w:pStyle w:val="Heading3"/>
        <w:spacing w:after="80" w:before="220"/>
      </w:pPr>
      <w:r>
        <w:t xml:space="preserve">RSPO — Roundtable on Sustainable Palm Oil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RSPO — multi-stakeholder non-profit, Malaysia/Switzerland</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2004</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certification + supply-chain models  ·  Asker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1t2varfv2_xjd8zuvgily">
              <w:r>
                <w:rPr>
                  <w:rStyle w:val="Hyperlink"/>
                  <w:sz w:val="18"/>
                  <w:szCs w:val="18"/>
                </w:rPr>
                <w:t xml:space="preserve">rspo.org</w:t>
              </w:r>
            </w:hyperlink>
          </w:p>
        </w:tc>
      </w:tr>
    </w:tbl>
    <w:p>
      <w:pPr>
        <w:spacing w:after="60" w:before="100"/>
      </w:pPr>
      <w:r>
        <w:rPr>
          <w:b/>
          <w:bCs/>
          <w:color w:val="1F3B4D"/>
          <w:sz w:val="18"/>
          <w:szCs w:val="18"/>
        </w:rPr>
        <w:t xml:space="preserve">Objective.  </w:t>
      </w:r>
      <w:r>
        <w:rPr>
          <w:sz w:val="18"/>
          <w:szCs w:val="18"/>
        </w:rPr>
        <w:t xml:space="preserve">Certifies sustainable palm oil along the supply chain via production standards and chain-of-custody models.</w:t>
      </w:r>
    </w:p>
    <w:p>
      <w:pPr>
        <w:spacing w:after="120"/>
      </w:pPr>
      <w:r>
        <w:rPr>
          <w:b/>
          <w:bCs/>
          <w:color w:val="1F3B4D"/>
          <w:sz w:val="18"/>
          <w:szCs w:val="18"/>
        </w:rPr>
        <w:t xml:space="preserve">In the ecosystem.  </w:t>
      </w:r>
      <w:r>
        <w:rPr>
          <w:sz w:val="18"/>
          <w:szCs w:val="18"/>
        </w:rPr>
        <w:t xml:space="preserve">Relevant where palm derivatives appear in aquaculture feed or processing inputs; intersects with the EUDR due-diligence obligation.</w:t>
      </w:r>
    </w:p>
    <w:p>
      <w:pPr>
        <w:pStyle w:val="Heading1"/>
        <w:spacing w:after="140" w:before="360"/>
      </w:pPr>
      <w:r>
        <w:t xml:space="preserve">Layer 2 — Enablement / methodology layer</w:t>
      </w:r>
    </w:p>
    <w:p>
      <w:pPr>
        <w:spacing w:after="120"/>
      </w:pPr>
      <w:r>
        <w:rPr>
          <w:sz w:val="18"/>
          <w:szCs w:val="18"/>
        </w:rPr>
        <w:t xml:space="preserve">These instruments underpin the demand-side layer. They supply accounting methods, management-system processes, benchmarks or data formats. A firm builds capability on them, but they do not themselves request a disclosure — which is why they are excluded from the demand count yet central to the capability-corridor argument.</w:t>
      </w:r>
    </w:p>
    <w:p>
      <w:pPr>
        <w:pStyle w:val="Heading3"/>
        <w:spacing w:after="80" w:before="220"/>
      </w:pPr>
      <w:r>
        <w:t xml:space="preserve">GHG Protocol — Greenhouse Gas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World Resources Institute (WRI) &amp; WBCSD</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Corporate Standard, 2001</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Accounting methodology (not certifiable)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Cross-cutting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9n_zkuoysrk881ipydrpu">
              <w:r>
                <w:rPr>
                  <w:rStyle w:val="Hyperlink"/>
                  <w:sz w:val="18"/>
                  <w:szCs w:val="18"/>
                </w:rPr>
                <w:t xml:space="preserve">ghgprotocol.org</w:t>
              </w:r>
            </w:hyperlink>
          </w:p>
        </w:tc>
      </w:tr>
    </w:tbl>
    <w:p>
      <w:pPr>
        <w:spacing w:after="60" w:before="100"/>
      </w:pPr>
      <w:r>
        <w:rPr>
          <w:b/>
          <w:bCs/>
          <w:color w:val="1F3B4D"/>
          <w:sz w:val="18"/>
          <w:szCs w:val="18"/>
        </w:rPr>
        <w:t xml:space="preserve">Objective.  </w:t>
      </w:r>
      <w:r>
        <w:rPr>
          <w:sz w:val="18"/>
          <w:szCs w:val="18"/>
        </w:rPr>
        <w:t xml:space="preserve">The dominant corporate GHG accounting and reporting methodology, defining Scopes 1, 2 and 3 and the rules for boundary-setting and calculation.</w:t>
      </w:r>
    </w:p>
    <w:p>
      <w:pPr>
        <w:spacing w:after="120"/>
      </w:pPr>
      <w:r>
        <w:rPr>
          <w:b/>
          <w:bCs/>
          <w:color w:val="1F3B4D"/>
          <w:sz w:val="18"/>
          <w:szCs w:val="18"/>
        </w:rPr>
        <w:t xml:space="preserve">In the ecosystem.  </w:t>
      </w:r>
      <w:r>
        <w:rPr>
          <w:sz w:val="18"/>
          <w:szCs w:val="18"/>
        </w:rPr>
        <w:t xml:space="preserve">Underlies every climate disclosure (ESRS E1, CDP, SBTi); it does not itself demand reporting but makes emissions data comparable — a pure capability enabler.</w:t>
      </w:r>
    </w:p>
    <w:p>
      <w:pPr>
        <w:pStyle w:val="Heading3"/>
        <w:spacing w:after="80" w:before="220"/>
      </w:pPr>
      <w:r>
        <w:t xml:space="preserve">ISO 14001 — Environmental Management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International Organization for Standardization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1996 / 2015 revision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Management-system standard (certifiable)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Cross-cutting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zdevjvaxkbw8rd3bkywep">
              <w:r>
                <w:rPr>
                  <w:rStyle w:val="Hyperlink"/>
                  <w:sz w:val="18"/>
                  <w:szCs w:val="18"/>
                </w:rPr>
                <w:t xml:space="preserve">iso.org — ISO 14001</w:t>
              </w:r>
            </w:hyperlink>
          </w:p>
        </w:tc>
      </w:tr>
    </w:tbl>
    <w:p>
      <w:pPr>
        <w:spacing w:after="60" w:before="100"/>
      </w:pPr>
      <w:r>
        <w:rPr>
          <w:b/>
          <w:bCs/>
          <w:color w:val="1F3B4D"/>
          <w:sz w:val="18"/>
          <w:szCs w:val="18"/>
        </w:rPr>
        <w:t xml:space="preserve">Objective.  </w:t>
      </w:r>
      <w:r>
        <w:rPr>
          <w:sz w:val="18"/>
          <w:szCs w:val="18"/>
        </w:rPr>
        <w:t xml:space="preserve">Specifies requirements for an environmental management system (EMS) on a plan-do-check-act basis.</w:t>
      </w:r>
    </w:p>
    <w:p>
      <w:pPr>
        <w:spacing w:after="120"/>
      </w:pPr>
      <w:r>
        <w:rPr>
          <w:b/>
          <w:bCs/>
          <w:color w:val="1F3B4D"/>
          <w:sz w:val="18"/>
          <w:szCs w:val="18"/>
        </w:rPr>
        <w:t xml:space="preserve">In the ecosystem.  </w:t>
      </w:r>
      <w:r>
        <w:rPr>
          <w:sz w:val="18"/>
          <w:szCs w:val="18"/>
        </w:rPr>
        <w:t xml:space="preserve">Process backbone for environmental data; supports E-topic capability without itself being a disclosure asker.</w:t>
      </w:r>
    </w:p>
    <w:p>
      <w:pPr>
        <w:pStyle w:val="Heading3"/>
        <w:spacing w:after="80" w:before="220"/>
      </w:pPr>
      <w:r>
        <w:t xml:space="preserve">ISO 45001 — Occupational Health &amp; Safety Management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International Organization for Standardization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2018</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Management-system standard (certifiable)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Cross-cutting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zianpz8xwbsnhqyqkwfpq">
              <w:r>
                <w:rPr>
                  <w:rStyle w:val="Hyperlink"/>
                  <w:sz w:val="18"/>
                  <w:szCs w:val="18"/>
                </w:rPr>
                <w:t xml:space="preserve">iso.org — ISO 45001</w:t>
              </w:r>
            </w:hyperlink>
          </w:p>
        </w:tc>
      </w:tr>
    </w:tbl>
    <w:p>
      <w:pPr>
        <w:spacing w:after="60" w:before="100"/>
      </w:pPr>
      <w:r>
        <w:rPr>
          <w:b/>
          <w:bCs/>
          <w:color w:val="1F3B4D"/>
          <w:sz w:val="18"/>
          <w:szCs w:val="18"/>
        </w:rPr>
        <w:t xml:space="preserve">Objective.  </w:t>
      </w:r>
      <w:r>
        <w:rPr>
          <w:sz w:val="18"/>
          <w:szCs w:val="18"/>
        </w:rPr>
        <w:t xml:space="preserve">Specifies requirements for an occupational health &amp; safety management system.</w:t>
      </w:r>
    </w:p>
    <w:p>
      <w:pPr>
        <w:spacing w:after="120"/>
      </w:pPr>
      <w:r>
        <w:rPr>
          <w:b/>
          <w:bCs/>
          <w:color w:val="1F3B4D"/>
          <w:sz w:val="18"/>
          <w:szCs w:val="18"/>
        </w:rPr>
        <w:t xml:space="preserve">In the ecosystem.  </w:t>
      </w:r>
      <w:r>
        <w:rPr>
          <w:sz w:val="18"/>
          <w:szCs w:val="18"/>
        </w:rPr>
        <w:t xml:space="preserve">Underpins own-workforce H&amp;S (S1) data and processes; the management-system counterpart to the OSH Directive's legal duty.</w:t>
      </w:r>
    </w:p>
    <w:p>
      <w:pPr>
        <w:pStyle w:val="Heading3"/>
        <w:spacing w:after="80" w:before="220"/>
      </w:pPr>
      <w:r>
        <w:t xml:space="preserve">ISO 50001 — Energy Management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International Organization for Standardization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2011 / 2018 revision</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Management-system standard (certifiable)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Cross-cutting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bmgfoowagswy39wycgxln">
              <w:r>
                <w:rPr>
                  <w:rStyle w:val="Hyperlink"/>
                  <w:sz w:val="18"/>
                  <w:szCs w:val="18"/>
                </w:rPr>
                <w:t xml:space="preserve">iso.org — ISO 50001</w:t>
              </w:r>
            </w:hyperlink>
          </w:p>
        </w:tc>
      </w:tr>
    </w:tbl>
    <w:p>
      <w:pPr>
        <w:spacing w:after="60" w:before="100"/>
      </w:pPr>
      <w:r>
        <w:rPr>
          <w:b/>
          <w:bCs/>
          <w:color w:val="1F3B4D"/>
          <w:sz w:val="18"/>
          <w:szCs w:val="18"/>
        </w:rPr>
        <w:t xml:space="preserve">Objective.  </w:t>
      </w:r>
      <w:r>
        <w:rPr>
          <w:sz w:val="18"/>
          <w:szCs w:val="18"/>
        </w:rPr>
        <w:t xml:space="preserve">Specifies requirements for an energy management system, including energy-performance monitoring.</w:t>
      </w:r>
    </w:p>
    <w:p>
      <w:pPr>
        <w:spacing w:after="120"/>
      </w:pPr>
      <w:r>
        <w:rPr>
          <w:b/>
          <w:bCs/>
          <w:color w:val="1F3B4D"/>
          <w:sz w:val="18"/>
          <w:szCs w:val="18"/>
        </w:rPr>
        <w:t xml:space="preserve">In the ecosystem.  </w:t>
      </w:r>
      <w:r>
        <w:rPr>
          <w:sz w:val="18"/>
          <w:szCs w:val="18"/>
        </w:rPr>
        <w:t xml:space="preserve">Supports the quality and auditability of energy-consumption data (ESRS E1).</w:t>
      </w:r>
    </w:p>
    <w:p>
      <w:pPr>
        <w:pStyle w:val="Heading3"/>
        <w:spacing w:after="80" w:before="220"/>
      </w:pPr>
      <w:r>
        <w:t xml:space="preserve">GSSI — Global Sustainable Seafood Initiative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GSSI — public-private partnership</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2015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Benchmarking tool (meta-standard)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 (meta)</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y4affrqedvleo-gq5rey_">
              <w:r>
                <w:rPr>
                  <w:rStyle w:val="Hyperlink"/>
                  <w:sz w:val="18"/>
                  <w:szCs w:val="18"/>
                </w:rPr>
                <w:t xml:space="preserve">ourgssi.org</w:t>
              </w:r>
            </w:hyperlink>
          </w:p>
        </w:tc>
      </w:tr>
    </w:tbl>
    <w:p>
      <w:pPr>
        <w:spacing w:after="60" w:before="100"/>
      </w:pPr>
      <w:r>
        <w:rPr>
          <w:b/>
          <w:bCs/>
          <w:color w:val="1F3B4D"/>
          <w:sz w:val="18"/>
          <w:szCs w:val="18"/>
        </w:rPr>
        <w:t xml:space="preserve">Objective.  </w:t>
      </w:r>
      <w:r>
        <w:rPr>
          <w:sz w:val="18"/>
          <w:szCs w:val="18"/>
        </w:rPr>
        <w:t xml:space="preserve">Benchmarks seafood certification schemes against FAO-based criteria so buyers can recognise equivalence between recognised schemes.</w:t>
      </w:r>
    </w:p>
    <w:p>
      <w:pPr>
        <w:spacing w:after="120"/>
      </w:pPr>
      <w:r>
        <w:rPr>
          <w:b/>
          <w:bCs/>
          <w:color w:val="1F3B4D"/>
          <w:sz w:val="18"/>
          <w:szCs w:val="18"/>
        </w:rPr>
        <w:t xml:space="preserve">In the ecosystem.  </w:t>
      </w:r>
      <w:r>
        <w:rPr>
          <w:sz w:val="18"/>
          <w:szCs w:val="18"/>
        </w:rPr>
        <w:t xml:space="preserve">Reduces certification fragmentation — it tells buyers which schemes (MSC, ASC, BAP, GLOBALG.A.P.) it recognises rather than demanding data itself; this is why it is treated as a meta-layer and collapsed, not counted as an independent demand.</w:t>
      </w:r>
    </w:p>
    <w:p>
      <w:pPr>
        <w:pStyle w:val="Heading3"/>
        <w:spacing w:after="80" w:before="220"/>
      </w:pPr>
      <w:r>
        <w:t xml:space="preserve">GFSI — Global Food Safety Initiative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The Consumer Goods Forum</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Founded 2000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Benchmarking tool (meta-standard)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Customer (meta)</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utvxwg-kld9nefxmtxv39">
              <w:r>
                <w:rPr>
                  <w:rStyle w:val="Hyperlink"/>
                  <w:sz w:val="18"/>
                  <w:szCs w:val="18"/>
                </w:rPr>
                <w:t xml:space="preserve">mygfsi.com</w:t>
              </w:r>
            </w:hyperlink>
          </w:p>
        </w:tc>
      </w:tr>
    </w:tbl>
    <w:p>
      <w:pPr>
        <w:spacing w:after="60" w:before="100"/>
      </w:pPr>
      <w:r>
        <w:rPr>
          <w:b/>
          <w:bCs/>
          <w:color w:val="1F3B4D"/>
          <w:sz w:val="18"/>
          <w:szCs w:val="18"/>
        </w:rPr>
        <w:t xml:space="preserve">Objective.  </w:t>
      </w:r>
      <w:r>
        <w:rPr>
          <w:sz w:val="18"/>
          <w:szCs w:val="18"/>
        </w:rPr>
        <w:t xml:space="preserve">Benchmarks food-safety schemes (IFS, BRCGS, FSSC 22000) for mutual recognition — 'certified once, accepted everywhere'.</w:t>
      </w:r>
    </w:p>
    <w:p>
      <w:pPr>
        <w:spacing w:after="120"/>
      </w:pPr>
      <w:r>
        <w:rPr>
          <w:b/>
          <w:bCs/>
          <w:color w:val="1F3B4D"/>
          <w:sz w:val="18"/>
          <w:szCs w:val="18"/>
        </w:rPr>
        <w:t xml:space="preserve">In the ecosystem.  </w:t>
      </w:r>
      <w:r>
        <w:rPr>
          <w:sz w:val="18"/>
          <w:szCs w:val="18"/>
        </w:rPr>
        <w:t xml:space="preserve">The reason IFS, BRCGS and FSSC behave as near-substitutes: buyers accept any GFSI-benchmarked scheme, so they should not be triple-counted as independent demands.</w:t>
      </w:r>
    </w:p>
    <w:p>
      <w:pPr>
        <w:pStyle w:val="Heading3"/>
        <w:spacing w:after="80" w:before="220"/>
      </w:pPr>
      <w:r>
        <w:t xml:space="preserve">GDST — Global Dialogue on Seafood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GDST — non-profit foundation (industry-led, 60+ partners)</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Convened 2017; GDST 1.0 standard, 2020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Voluntary data / interoperability standard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Industry / NGO</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jzk7ft4vgclbbyllmxokd">
              <w:r>
                <w:rPr>
                  <w:rStyle w:val="Hyperlink"/>
                  <w:sz w:val="18"/>
                  <w:szCs w:val="18"/>
                </w:rPr>
                <w:t xml:space="preserve">thegdst.org</w:t>
              </w:r>
            </w:hyperlink>
          </w:p>
        </w:tc>
      </w:tr>
    </w:tbl>
    <w:p>
      <w:pPr>
        <w:spacing w:after="60" w:before="100"/>
      </w:pPr>
      <w:r>
        <w:rPr>
          <w:b/>
          <w:bCs/>
          <w:color w:val="1F3B4D"/>
          <w:sz w:val="18"/>
          <w:szCs w:val="18"/>
        </w:rPr>
        <w:t xml:space="preserve">Objective.  </w:t>
      </w:r>
      <w:r>
        <w:rPr>
          <w:sz w:val="18"/>
          <w:szCs w:val="18"/>
        </w:rPr>
        <w:t xml:space="preserve">Defines the key data elements and interoperability formats for digital seafood traceability across wild and farmed supply chains.</w:t>
      </w:r>
    </w:p>
    <w:p>
      <w:pPr>
        <w:spacing w:after="120"/>
      </w:pPr>
      <w:r>
        <w:rPr>
          <w:b/>
          <w:bCs/>
          <w:color w:val="1F3B4D"/>
          <w:sz w:val="18"/>
          <w:szCs w:val="18"/>
        </w:rPr>
        <w:t xml:space="preserve">In the ecosystem.  </w:t>
      </w:r>
      <w:r>
        <w:rPr>
          <w:sz w:val="18"/>
          <w:szCs w:val="18"/>
        </w:rPr>
        <w:t xml:space="preserve">The technical spine of the traceability corridor: it lets traceability data flow across IUU/Control-Reg requirements, MSC/ASC chain-of-custody and ESRS value-chain reporting. Buyers may require it, giving it a dual asker/enabler character.</w:t>
      </w:r>
    </w:p>
    <w:p>
      <w:pPr>
        <w:pStyle w:val="Heading3"/>
        <w:spacing w:after="80" w:before="220"/>
      </w:pPr>
      <w:r>
        <w:t xml:space="preserve">UN SDGs — UN Sustainable Development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6876"/>
      </w:tblGrid>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Behind it</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United Nations (Agenda 2030)</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Reference / founded</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2015</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Status · role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Normative goal framework (not a reporting standard)  ·  Enabler</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Stakeholder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r>
              <w:rPr>
                <w:sz w:val="18"/>
                <w:szCs w:val="18"/>
              </w:rPr>
              <w:t xml:space="preserve">Cross-cutting</w:t>
            </w:r>
          </w:p>
        </w:tc>
      </w:tr>
      <w:tr>
        <w:tc>
          <w:tcPr>
            <w:tcW w:type="dxa" w:w="2150"/>
            <w:tcBorders>
              <w:top w:val="single" w:color="CBD5DB" w:sz="2"/>
              <w:left w:val="single" w:color="CBD5DB" w:sz="2"/>
              <w:bottom w:val="single" w:color="CBD5DB" w:sz="2"/>
              <w:right w:val="single" w:color="CBD5DB" w:sz="2"/>
            </w:tcBorders>
            <w:shd w:fill="EEF2F5" w:val="clear"/>
            <w:tcMar>
              <w:top w:type="dxa" w:w="40"/>
              <w:left w:type="dxa" w:w="110"/>
              <w:bottom w:type="dxa" w:w="40"/>
              <w:right w:type="dxa" w:w="110"/>
            </w:tcMar>
          </w:tcPr>
          <w:p>
            <w:pPr>
              <w:spacing w:after="0"/>
            </w:pPr>
            <w:r>
              <w:rPr>
                <w:b/>
                <w:bCs/>
                <w:color w:val="1F3B4D"/>
                <w:sz w:val="18"/>
                <w:szCs w:val="18"/>
              </w:rPr>
              <w:t xml:space="preserve">Official source</w:t>
            </w:r>
          </w:p>
        </w:tc>
        <w:tc>
          <w:tcPr>
            <w:tcW w:type="dxa" w:w="6876"/>
            <w:tcBorders>
              <w:top w:val="single" w:color="CBD5DB" w:sz="2"/>
              <w:left w:val="single" w:color="CBD5DB" w:sz="2"/>
              <w:bottom w:val="single" w:color="CBD5DB" w:sz="2"/>
              <w:right w:val="single" w:color="CBD5DB" w:sz="2"/>
            </w:tcBorders>
            <w:tcMar>
              <w:top w:type="dxa" w:w="40"/>
              <w:left w:type="dxa" w:w="110"/>
              <w:bottom w:type="dxa" w:w="40"/>
              <w:right w:type="dxa" w:w="110"/>
            </w:tcMar>
          </w:tcPr>
          <w:p>
            <w:pPr>
              <w:spacing w:after="0"/>
            </w:pPr>
            <w:hyperlink w:history="1" r:id="rIdplz9nbx69xpcwpkagyloq">
              <w:r>
                <w:rPr>
                  <w:rStyle w:val="Hyperlink"/>
                  <w:sz w:val="18"/>
                  <w:szCs w:val="18"/>
                </w:rPr>
                <w:t xml:space="preserve">sdgs.un.org</w:t>
              </w:r>
            </w:hyperlink>
          </w:p>
        </w:tc>
      </w:tr>
    </w:tbl>
    <w:p>
      <w:pPr>
        <w:spacing w:after="60" w:before="100"/>
      </w:pPr>
      <w:r>
        <w:rPr>
          <w:b/>
          <w:bCs/>
          <w:color w:val="1F3B4D"/>
          <w:sz w:val="18"/>
          <w:szCs w:val="18"/>
        </w:rPr>
        <w:t xml:space="preserve">Objective.  </w:t>
      </w:r>
      <w:r>
        <w:rPr>
          <w:sz w:val="18"/>
          <w:szCs w:val="18"/>
        </w:rPr>
        <w:t xml:space="preserve">Seventeen goals and 169 targets providing a shared global agenda for sustainable development; SDG 14 ('Life below water') is the most directly seafood-relevant.</w:t>
      </w:r>
    </w:p>
    <w:p>
      <w:pPr>
        <w:spacing w:after="120"/>
      </w:pPr>
      <w:r>
        <w:rPr>
          <w:b/>
          <w:bCs/>
          <w:color w:val="1F3B4D"/>
          <w:sz w:val="18"/>
          <w:szCs w:val="18"/>
        </w:rPr>
        <w:t xml:space="preserve">In the ecosystem.  </w:t>
      </w:r>
      <w:r>
        <w:rPr>
          <w:sz w:val="18"/>
          <w:szCs w:val="18"/>
        </w:rPr>
        <w:t xml:space="preserve">Used by firms to frame and communicate contribution; a reference frame rather than a data demand, which is why it sits in the enabler layer.</w:t>
      </w:r>
    </w:p>
    <w:p>
      <w:r>
        <w:br w:type="page"/>
      </w:r>
    </w:p>
    <w:p>
      <w:pPr>
        <w:pStyle w:val="Heading1"/>
        <w:spacing w:after="140" w:before="360"/>
      </w:pPr>
      <w:r>
        <w:t xml:space="preserve">Selected literature &amp; evidence base</w:t>
      </w:r>
    </w:p>
    <w:p>
      <w:pPr>
        <w:spacing w:after="120"/>
      </w:pPr>
      <w:r>
        <w:rPr>
          <w:sz w:val="18"/>
          <w:szCs w:val="18"/>
        </w:rPr>
        <w:t xml:space="preserve">Sources cited in the evidence notes above, plus key peer-reviewed work on seafood-certification effectiveness. URLs marked </w:t>
      </w:r>
      <w:r>
        <w:rPr>
          <w:b/>
          <w:bCs/>
          <w:sz w:val="18"/>
          <w:szCs w:val="18"/>
        </w:rPr>
        <w:t xml:space="preserve">(verified)</w:t>
      </w:r>
      <w:r>
        <w:rPr>
          <w:sz w:val="18"/>
          <w:szCs w:val="18"/>
        </w:rPr>
        <w:t xml:space="preserve"> were confirmed live during research; entries marked </w:t>
      </w:r>
      <w:r>
        <w:rPr>
          <w:b/>
          <w:bCs/>
          <w:sz w:val="18"/>
          <w:szCs w:val="18"/>
        </w:rPr>
        <w:t xml:space="preserve">[verify citation]</w:t>
      </w:r>
      <w:r>
        <w:rPr>
          <w:sz w:val="18"/>
          <w:szCs w:val="18"/>
        </w:rPr>
        <w:t xml:space="preserve"> should be checked for exact authorship, year and pagination before inclusion in the bibliography.</w:t>
      </w:r>
    </w:p>
    <w:p>
      <w:pPr>
        <w:pStyle w:val="ListParagraph"/>
        <w:numPr>
          <w:ilvl w:val="0"/>
          <w:numId w:val="2"/>
        </w:numPr>
        <w:spacing w:after="80"/>
      </w:pPr>
      <w:r>
        <w:rPr>
          <w:sz w:val="18"/>
          <w:szCs w:val="18"/>
        </w:rPr>
        <w:t xml:space="preserve">Gutiérrez, N. L. et al. (2012). “Eco-Label Conveys Reliable Information on Fish Stock Health to Seafood Consumers.” PLoS ONE 7(8): e43765.</w:t>
      </w:r>
      <w:r>
        <w:rPr>
          <w:sz w:val="18"/>
          <w:szCs w:val="18"/>
        </w:rPr>
        <w:t xml:space="preserve">  </w:t>
      </w:r>
      <w:hyperlink w:history="1" r:id="rId9lti1uyqc8ybb0tovi69n">
        <w:r>
          <w:rPr>
            <w:rStyle w:val="Hyperlink"/>
            <w:sz w:val="18"/>
            <w:szCs w:val="18"/>
          </w:rPr>
          <w:t xml:space="preserve">PMC3424161</w:t>
        </w:r>
      </w:hyperlink>
      <w:r>
        <w:rPr>
          <w:i/>
          <w:iCs/>
          <w:color w:val="666666"/>
          <w:sz w:val="18"/>
          <w:szCs w:val="18"/>
        </w:rPr>
        <w:t xml:space="preserve">  — (verified) Evidence that MSC-certified stocks trend healthier; associative, not causal.</w:t>
      </w:r>
    </w:p>
    <w:p>
      <w:pPr>
        <w:pStyle w:val="ListParagraph"/>
        <w:numPr>
          <w:ilvl w:val="0"/>
          <w:numId w:val="2"/>
        </w:numPr>
        <w:spacing w:after="80"/>
      </w:pPr>
      <w:r>
        <w:rPr>
          <w:sz w:val="18"/>
          <w:szCs w:val="18"/>
        </w:rPr>
        <w:t xml:space="preserve">“Shifting focus: the impacts of sustainable seafood certification.” PLoS ONE (open access).</w:t>
      </w:r>
      <w:r>
        <w:rPr>
          <w:sz w:val="18"/>
          <w:szCs w:val="18"/>
        </w:rPr>
        <w:t xml:space="preserve">  </w:t>
      </w:r>
      <w:hyperlink w:history="1" r:id="rIdcbsurnpkqw7bkkumsxluw">
        <w:r>
          <w:rPr>
            <w:rStyle w:val="Hyperlink"/>
            <w:sz w:val="18"/>
            <w:szCs w:val="18"/>
          </w:rPr>
          <w:t xml:space="preserve">PMC7239462</w:t>
        </w:r>
      </w:hyperlink>
      <w:r>
        <w:rPr>
          <w:i/>
          <w:iCs/>
          <w:color w:val="666666"/>
          <w:sz w:val="18"/>
          <w:szCs w:val="18"/>
        </w:rPr>
        <w:t xml:space="preserve">  — (verified URL) Reviews certification outcomes and FIP accountability concerns. [verify citation] for authors/year.</w:t>
      </w:r>
    </w:p>
    <w:p>
      <w:pPr>
        <w:pStyle w:val="ListParagraph"/>
        <w:numPr>
          <w:ilvl w:val="0"/>
          <w:numId w:val="2"/>
        </w:numPr>
        <w:spacing w:after="80"/>
      </w:pPr>
      <w:r>
        <w:rPr>
          <w:sz w:val="18"/>
          <w:szCs w:val="18"/>
        </w:rPr>
        <w:t xml:space="preserve">Sampson, G. S. et al. (2015). “Secure sustainable seafood from developing countries.” Science 348(6234): 504–506.</w:t>
      </w:r>
      <w:r>
        <w:rPr>
          <w:i/>
          <w:iCs/>
          <w:color w:val="666666"/>
          <w:sz w:val="18"/>
          <w:szCs w:val="18"/>
        </w:rPr>
        <w:t xml:space="preserve">  — [verify citation] Widely cited on FIPs and market access for developing-country fisheries.</w:t>
      </w:r>
    </w:p>
    <w:p>
      <w:pPr>
        <w:pStyle w:val="ListParagraph"/>
        <w:numPr>
          <w:ilvl w:val="0"/>
          <w:numId w:val="2"/>
        </w:numPr>
        <w:spacing w:after="80"/>
      </w:pPr>
      <w:r>
        <w:rPr>
          <w:sz w:val="18"/>
          <w:szCs w:val="18"/>
        </w:rPr>
        <w:t xml:space="preserve">EFRAG (2024). GRI–ESRS Interoperability Index; EFRAG–TNFD correspondence mapping (2024).</w:t>
      </w:r>
      <w:r>
        <w:rPr>
          <w:i/>
          <w:iCs/>
          <w:color w:val="666666"/>
          <w:sz w:val="18"/>
          <w:szCs w:val="18"/>
        </w:rPr>
        <w:t xml:space="preserve">  — Official interoperability mappings underpinning the framework-connection logic. Available via efrag.org.</w:t>
      </w:r>
    </w:p>
    <w:p>
      <w:pPr>
        <w:pStyle w:val="ListParagraph"/>
        <w:numPr>
          <w:ilvl w:val="0"/>
          <w:numId w:val="2"/>
        </w:numPr>
        <w:spacing w:after="80"/>
      </w:pPr>
      <w:r>
        <w:rPr>
          <w:sz w:val="18"/>
          <w:szCs w:val="18"/>
        </w:rPr>
        <w:t xml:space="preserve">FAO. Guidelines for the Ecolabelling of Fish and Fishery Products from Marine Capture Fisheries (basis for GSSI benchmarking).</w:t>
      </w:r>
      <w:r>
        <w:rPr>
          <w:i/>
          <w:iCs/>
          <w:color w:val="666666"/>
          <w:sz w:val="18"/>
          <w:szCs w:val="18"/>
        </w:rPr>
        <w:t xml:space="preserve">  — [verify citation] Primary normative reference behind GSSI recognition criteria.</w:t>
      </w:r>
    </w:p>
    <w:p>
      <w:pPr>
        <w:pBdr>
          <w:top w:val="single" w:color="CBD5DB" w:sz="4" w:space="4"/>
        </w:pBdr>
        <w:spacing w:before="200"/>
      </w:pPr>
      <w:r>
        <w:rPr>
          <w:i/>
          <w:iCs/>
          <w:color w:val="666666"/>
          <w:sz w:val="18"/>
          <w:szCs w:val="18"/>
        </w:rPr>
        <w:t xml:space="preserve">Compiled June 2026. All official-source links and regulatory statuses were current at the snapshot date; EU sustainability law (CSRD, CSDDD, ESRS, EUDR) was under active simplification and should be re-checked against EUR-Lex before citation.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Seafood Sustainability Disclosure Ecosystem —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B4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6E8E"/>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thlde5djejp5a43auqa5" Type="http://schemas.openxmlformats.org/officeDocument/2006/relationships/hyperlink" Target="https://eur-lex.europa.eu/eli/dir/2022/2464/oj" TargetMode="External"/><Relationship Id="rIdjvs1ltlxjee5lxw-pyg0m" Type="http://schemas.openxmlformats.org/officeDocument/2006/relationships/hyperlink" Target="https://eur-lex.europa.eu/eli/reg_del/2023/2772/oj" TargetMode="External"/><Relationship Id="rIdibczihn3jcaxtjdjiu_mv" Type="http://schemas.openxmlformats.org/officeDocument/2006/relationships/hyperlink" Target="https://ec.europa.eu/finance/docs/law/250730-recommendation-vsme_en.pdf" TargetMode="External"/><Relationship Id="rIda-ihpdph8h5cvc3ec95kh" Type="http://schemas.openxmlformats.org/officeDocument/2006/relationships/hyperlink" Target="https://eur-lex.europa.eu/eli/dir/2024/1760/oj" TargetMode="External"/><Relationship Id="rIdkqyynzgc_eqpp--ulz0a-" Type="http://schemas.openxmlformats.org/officeDocument/2006/relationships/hyperlink" Target="https://eur-lex.europa.eu/eli/reg/2020/852/oj" TargetMode="External"/><Relationship Id="rIdqibxxws5rhlpobn0-yrtt" Type="http://schemas.openxmlformats.org/officeDocument/2006/relationships/hyperlink" Target="https://eur-lex.europa.eu/eli/reg/2019/2088/oj" TargetMode="External"/><Relationship Id="rIdshkdfg57ahrswwy4netx8" Type="http://schemas.openxmlformats.org/officeDocument/2006/relationships/hyperlink" Target="https://eur-lex.europa.eu/eli/reg/2013/1380/oj" TargetMode="External"/><Relationship Id="rIdwqzk1msjdgwlrx2hbxsj_" Type="http://schemas.openxmlformats.org/officeDocument/2006/relationships/hyperlink" Target="https://eur-lex.europa.eu/eli/reg/2008/1005/oj" TargetMode="External"/><Relationship Id="rIdakmglghhdm9dn8b8bru6h" Type="http://schemas.openxmlformats.org/officeDocument/2006/relationships/hyperlink" Target="https://eur-lex.europa.eu/eli/reg/2023/2842/oj" TargetMode="External"/><Relationship Id="rIduzu6sh-ojebqpho2xsqec" Type="http://schemas.openxmlformats.org/officeDocument/2006/relationships/hyperlink" Target="https://eur-lex.europa.eu/eli/reg/2013/1379/oj" TargetMode="External"/><Relationship Id="rIdifb1qxbsbhkqtgzvxlwwc" Type="http://schemas.openxmlformats.org/officeDocument/2006/relationships/hyperlink" Target="https://eur-lex.europa.eu/eli/dir/2017/159/oj" TargetMode="External"/><Relationship Id="rId3jmit0jo8gqfdniqcbv-6" Type="http://schemas.openxmlformats.org/officeDocument/2006/relationships/hyperlink" Target="https://eur-lex.europa.eu/eli/reg/2023/1115/oj" TargetMode="External"/><Relationship Id="rIdy-xeiocbxy8t5k4r1putb" Type="http://schemas.openxmlformats.org/officeDocument/2006/relationships/hyperlink" Target="https://eur-lex.europa.eu/eli/reg/2025/40/oj" TargetMode="External"/><Relationship Id="rIdpzrhvhqpcwosqgnipx9zn" Type="http://schemas.openxmlformats.org/officeDocument/2006/relationships/hyperlink" Target="https://eur-lex.europa.eu/eli/dir/2024/825/oj" TargetMode="External"/><Relationship Id="rIdbfx6dghtaqxx_bgafzl9d" Type="http://schemas.openxmlformats.org/officeDocument/2006/relationships/hyperlink" Target="https://eur-lex.europa.eu/eli/reg/2024/3015/oj" TargetMode="External"/><Relationship Id="rIdlcg3gulc3iismqelwl5ce" Type="http://schemas.openxmlformats.org/officeDocument/2006/relationships/hyperlink" Target="https://eur-lex.europa.eu/eli/reg/2002/178/oj" TargetMode="External"/><Relationship Id="rIdkyvuqvrgk4c6ogol6r7od" Type="http://schemas.openxmlformats.org/officeDocument/2006/relationships/hyperlink" Target="https://eur-lex.europa.eu/eli/dir/1989/391/oj" TargetMode="External"/><Relationship Id="rIdzphpnxnmobrykuhr3u8g8" Type="http://schemas.openxmlformats.org/officeDocument/2006/relationships/hyperlink" Target="https://eur-lex.europa.eu/eli/dir/2003/88/oj" TargetMode="External"/><Relationship Id="rId1b5ofvrl7dwjr-ykfk1jq" Type="http://schemas.openxmlformats.org/officeDocument/2006/relationships/hyperlink" Target="https://eur-lex.europa.eu/eli/reg/2019/6/oj" TargetMode="External"/><Relationship Id="rIdthoktkattqbnyevy6vvpz" Type="http://schemas.openxmlformats.org/officeDocument/2006/relationships/hyperlink" Target="https://www.msc.org" TargetMode="External"/><Relationship Id="rIdktyyeffvah_dnijzzr709" Type="http://schemas.openxmlformats.org/officeDocument/2006/relationships/hyperlink" Target="https://asc-aqua.org" TargetMode="External"/><Relationship Id="rIdczkrboff_o-rzybw5o4es" Type="http://schemas.openxmlformats.org/officeDocument/2006/relationships/hyperlink" Target="https://www.bapcertification.org" TargetMode="External"/><Relationship Id="rIdh1o-ygr1kjwkk5-iznqsj" Type="http://schemas.openxmlformats.org/officeDocument/2006/relationships/hyperlink" Target="https://www.globalgap.org" TargetMode="External"/><Relationship Id="rIdrhbiuvpkuc0g1nle8cedc" Type="http://schemas.openxmlformats.org/officeDocument/2006/relationships/hyperlink" Target="https://friendofthesea.org" TargetMode="External"/><Relationship Id="rId6e08v2x_tcu6eykn0ax9v" Type="http://schemas.openxmlformats.org/officeDocument/2006/relationships/hyperlink" Target="https://www.ifs-certification.com" TargetMode="External"/><Relationship Id="rId4oik-k8wglr9sd3m6bqan" Type="http://schemas.openxmlformats.org/officeDocument/2006/relationships/hyperlink" Target="https://www.brcgs.com" TargetMode="External"/><Relationship Id="rIdvzw1l5rhvnznprlnb5bmi" Type="http://schemas.openxmlformats.org/officeDocument/2006/relationships/hyperlink" Target="https://www.fssc.com" TargetMode="External"/><Relationship Id="rIdoepvovom4tepfttcltsee" Type="http://schemas.openxmlformats.org/officeDocument/2006/relationships/hyperlink" Target="https://www.sedex.com" TargetMode="External"/><Relationship Id="rId9hi7xxxpt9r9x8f4izses" Type="http://schemas.openxmlformats.org/officeDocument/2006/relationships/hyperlink" Target="https://ecovadis.com" TargetMode="External"/><Relationship Id="rIdrg49_j62kkablrejx2zrf" Type="http://schemas.openxmlformats.org/officeDocument/2006/relationships/hyperlink" Target="https://www.cdp.net" TargetMode="External"/><Relationship Id="rIdwgcbglbfrd0vosiyotrkh" Type="http://schemas.openxmlformats.org/officeDocument/2006/relationships/hyperlink" Target="https://sciencebasedtargets.org" TargetMode="External"/><Relationship Id="rIdbgmabdkxc4-iszlayyjek" Type="http://schemas.openxmlformats.org/officeDocument/2006/relationships/hyperlink" Target="https://www.fsb-tcfd.org" TargetMode="External"/><Relationship Id="rIdu_y9ohm8blild83a8a2tc" Type="http://schemas.openxmlformats.org/officeDocument/2006/relationships/hyperlink" Target="https://www.ifrs.org/groups/international-sustainability-standards-board/" TargetMode="External"/><Relationship Id="rId32uidbhk6yl9-e87jcycu" Type="http://schemas.openxmlformats.org/officeDocument/2006/relationships/hyperlink" Target="https://sasb.ifrs.org" TargetMode="External"/><Relationship Id="rIdmhgm_klipw0wvylealyy0" Type="http://schemas.openxmlformats.org/officeDocument/2006/relationships/hyperlink" Target="https://www.fairr.org" TargetMode="External"/><Relationship Id="rId6kwwlwkgahi13zrh7i_st" Type="http://schemas.openxmlformats.org/officeDocument/2006/relationships/hyperlink" Target="https://www.spglobal.com/esg/csa" TargetMode="External"/><Relationship Id="rId2suwi-iwyaem_3zvjsanh" Type="http://schemas.openxmlformats.org/officeDocument/2006/relationships/hyperlink" Target="https://tnfd.global" TargetMode="External"/><Relationship Id="rIdkdogqfr32teyzmflrelti" Type="http://schemas.openxmlformats.org/officeDocument/2006/relationships/hyperlink" Target="https://www.globalreporting.org" TargetMode="External"/><Relationship Id="rId889x9jztlndqzc3yjarab" Type="http://schemas.openxmlformats.org/officeDocument/2006/relationships/hyperlink" Target="https://unglobalcompact.org" TargetMode="External"/><Relationship Id="rIdk-xx45ysvuqrawiuowapv" Type="http://schemas.openxmlformats.org/officeDocument/2006/relationships/hyperlink" Target="https://movetominus15.com" TargetMode="External"/><Relationship Id="rId83ab9qbz9gkvcvz4bwepk" Type="http://schemas.openxmlformats.org/officeDocument/2006/relationships/hyperlink" Target="https://www.iss-foundation.org" TargetMode="External"/><Relationship Id="rIdjfeeh85jvp9fipmkr2wxz" Type="http://schemas.openxmlformats.org/officeDocument/2006/relationships/hyperlink" Target="https://fisheryprogress.org" TargetMode="External"/><Relationship Id="rIdj-kf7mc7tef9vomkuhjlc" Type="http://schemas.openxmlformats.org/officeDocument/2006/relationships/hyperlink" Target="https://seabos.org" TargetMode="External"/><Relationship Id="rId1t2varfv2_xjd8zuvgily" Type="http://schemas.openxmlformats.org/officeDocument/2006/relationships/hyperlink" Target="https://rspo.org" TargetMode="External"/><Relationship Id="rId9n_zkuoysrk881ipydrpu" Type="http://schemas.openxmlformats.org/officeDocument/2006/relationships/hyperlink" Target="https://ghgprotocol.org" TargetMode="External"/><Relationship Id="rIdzdevjvaxkbw8rd3bkywep" Type="http://schemas.openxmlformats.org/officeDocument/2006/relationships/hyperlink" Target="https://www.iso.org/iso-14001-environmental-management.html" TargetMode="External"/><Relationship Id="rIdzianpz8xwbsnhqyqkwfpq" Type="http://schemas.openxmlformats.org/officeDocument/2006/relationships/hyperlink" Target="https://www.iso.org/iso-45001-occupational-health-and-safety.html" TargetMode="External"/><Relationship Id="rIdbmgfoowagswy39wycgxln" Type="http://schemas.openxmlformats.org/officeDocument/2006/relationships/hyperlink" Target="https://www.iso.org/iso-50001-energy-management.html" TargetMode="External"/><Relationship Id="rIdy4affrqedvleo-gq5rey_" Type="http://schemas.openxmlformats.org/officeDocument/2006/relationships/hyperlink" Target="https://www.ourgssi.org" TargetMode="External"/><Relationship Id="rIdutvxwg-kld9nefxmtxv39" Type="http://schemas.openxmlformats.org/officeDocument/2006/relationships/hyperlink" Target="https://mygfsi.com" TargetMode="External"/><Relationship Id="rIdjzk7ft4vgclbbyllmxokd" Type="http://schemas.openxmlformats.org/officeDocument/2006/relationships/hyperlink" Target="https://thegdst.org" TargetMode="External"/><Relationship Id="rIdplz9nbx69xpcwpkagyloq" Type="http://schemas.openxmlformats.org/officeDocument/2006/relationships/hyperlink" Target="https://sdgs.un.org/goals" TargetMode="External"/><Relationship Id="rId9lti1uyqc8ybb0tovi69n" Type="http://schemas.openxmlformats.org/officeDocument/2006/relationships/hyperlink" Target="https://www.ncbi.nlm.nih.gov/pmc/articles/PMC3424161/" TargetMode="External"/><Relationship Id="rIdcbsurnpkqw7bkkumsxluw" Type="http://schemas.openxmlformats.org/officeDocument/2006/relationships/hyperlink" Target="https://www.ncbi.nlm.nih.gov/pmc/articles/PMC7239462/" TargetMode="External"/><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2026-06-04T14:49:55.685Z</dcterms:created>
  <dcterms:modified xsi:type="dcterms:W3CDTF">2026-06-04T14:49:55.685Z</dcterms:modified>
</cp:coreProperties>
</file>

<file path=docProps/custom.xml><?xml version="1.0" encoding="utf-8"?>
<Properties xmlns="http://schemas.openxmlformats.org/officeDocument/2006/custom-properties" xmlns:vt="http://schemas.openxmlformats.org/officeDocument/2006/docPropsVTypes"/>
</file>