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sz w:val="40"/>
          <w:szCs w:val="40"/>
        </w:rPr>
        <w:t xml:space="preserve">Response to review comments</w:t>
      </w:r>
    </w:p>
    <w:p>
      <w:pPr>
        <w:spacing w:after="40"/>
      </w:pPr>
      <w:r>
        <w:rPr>
          <w:i/>
          <w:iCs/>
          <w:color w:val="555555"/>
          <w:sz w:val="22"/>
          <w:szCs w:val="22"/>
        </w:rPr>
        <w:t xml:space="preserve">Oliver Spring, Group Sustainability Manager, Nomad Foods / iglo GmbH</w:t>
      </w:r>
    </w:p>
    <w:p>
      <w:pPr>
        <w:spacing w:after="240"/>
      </w:pPr>
      <w:r>
        <w:rPr>
          <w:i/>
          <w:iCs/>
          <w:color w:val="555555"/>
          <w:sz w:val="22"/>
          <w:szCs w:val="22"/>
        </w:rPr>
        <w:t xml:space="preserve">Master's thesis, EPFL — Linne Verhoeven — 8 August 2026</w:t>
      </w:r>
    </w:p>
    <w:p>
      <w:pPr>
        <w:spacing w:after="140"/>
      </w:pPr>
      <w:r>
        <w:rPr>
          <w:sz w:val="22"/>
          <w:szCs w:val="22"/>
        </w:rPr>
        <w:t xml:space="preserve">This covers your Chapter 5 email of 5 August, your Chapter 4 email of 4 August, and all 141 comments in the annotated PDF across Chapters 1 to 6. Every point is answered below. One item remains open and needs your help; it is listed at the end.</w:t>
      </w:r>
    </w:p>
    <w:p>
      <w:pPr>
        <w:pBdr>
          <w:bottom w:val="single" w:color="BBBBBB" w:sz="6"/>
        </w:pBdr>
        <w:spacing w:after="200"/>
      </w:pPr>
    </w:p>
    <w:p>
      <w:pPr>
        <w:pStyle w:val="Heading1"/>
        <w:spacing w:after="160" w:before="320"/>
      </w:pPr>
      <w:r>
        <w:t xml:space="preserve">Chapter 5 — the year-on-year question</w:t>
      </w:r>
    </w:p>
    <w:p>
      <w:pPr>
        <w:pStyle w:val="Heading2"/>
        <w:spacing w:after="120" w:before="280"/>
      </w:pPr>
      <w:r>
        <w:t xml:space="preserve">1. “I thought we covered 43 DR, not 53”</w:t>
      </w:r>
    </w:p>
    <w:p>
      <w:pPr>
        <w:spacing w:after="140"/>
      </w:pPr>
      <w:r>
        <w:rPr>
          <w:sz w:val="22"/>
          <w:szCs w:val="22"/>
        </w:rPr>
        <w:t xml:space="preserve">You were reading an earlier draft. The bridge between the GRI index and the ESRS was rebuilt after a second reviewer raised a related problem. Under the old bridge Nomad came out at 43 requirements for 2024 and 42 for 2025; under the rebuilt bridge it is 53 and 52. The difference is entirely the bridge, not your reporting.</w:t>
      </w:r>
    </w:p>
    <w:p>
      <w:pPr>
        <w:pStyle w:val="Heading2"/>
        <w:spacing w:after="120" w:before="280"/>
      </w:pPr>
      <w:r>
        <w:t xml:space="preserve">2. “We answered the same E1-7, E1-9 and E4-1 in both years”</w:t>
      </w:r>
    </w:p>
    <w:p>
      <w:pPr>
        <w:spacing w:after="140"/>
      </w:pPr>
      <w:r>
        <w:rPr>
          <w:sz w:val="22"/>
          <w:szCs w:val="22"/>
        </w:rPr>
        <w:t xml:space="preserve">Your Data and Reporting Manager was right, and the old bridge was producing false year-on-year movement. Under it, E1-7 appeared to arrive in 2025 and E4-1 to disappear. Both are now stable across the two years, exactly as she described. The same rebuild also gave Nomad S3-1 to S3-4, which the old bridge missed entirely.</w:t>
      </w:r>
    </w:p>
    <w:p>
      <w:pPr>
        <w:pStyle w:val="Heading2"/>
        <w:spacing w:after="120" w:before="280"/>
      </w:pPr>
      <w:r>
        <w:t xml:space="preserve">3. E1-7 and E4-1 — “we did not report either, in either year”</w:t>
      </w:r>
    </w:p>
    <w:p>
      <w:pPr>
        <w:spacing w:after="140"/>
      </w:pPr>
      <w:r>
        <w:rPr>
          <w:sz w:val="22"/>
          <w:szCs w:val="22"/>
        </w:rPr>
        <w:t xml:space="preserve">Taken seriously, and now written into the thesis as a limitation. The interoperability index maps GRI 305-5, the reduction of emissions, to E1-7, which concerns removals — and a reduction is not a removal. E4-1 is credited through the GRI 304 management approach in the same way.</w:t>
      </w:r>
    </w:p>
    <w:p>
      <w:pPr>
        <w:spacing w:after="140"/>
      </w:pPr>
      <w:r>
        <w:rPr>
          <w:sz w:val="22"/>
          <w:szCs w:val="22"/>
        </w:rPr>
        <w:t xml:space="preserve">Section 5.3 now carries a paragraph describing this over-crediting explicitly, using both of your examples, and notes that the mapping is EFRAG's rather than mine, so overriding it case by case would substitute private judgement for a published crosswalk. It also states the consequence: E1-7 is recorded for two of the six firms and E4-1 for four, so neither enters the universal core and no finding depends on either.</w:t>
      </w:r>
    </w:p>
    <w:p>
      <w:pPr>
        <w:pStyle w:val="Heading2"/>
        <w:spacing w:after="120" w:before="280"/>
      </w:pPr>
      <w:r>
        <w:t xml:space="preserve">4. E1-9 — covered in your TCFD statement both years</w:t>
      </w:r>
    </w:p>
    <w:p>
      <w:pPr>
        <w:spacing w:after="140"/>
      </w:pPr>
      <w:r>
        <w:rPr>
          <w:sz w:val="22"/>
          <w:szCs w:val="22"/>
        </w:rPr>
        <w:t xml:space="preserve">Confirmed, and left as coded, deliberately. Your 2024 index carries GRI 201-2 and points it at the TCFD statement. The 2025 index carries 201-1 but not 201-2, while the TCFD statement itself is still published and linked. So the disclosure exists and the index no longer reaches it.</w:t>
      </w:r>
    </w:p>
    <w:p>
      <w:pPr>
        <w:spacing w:after="140"/>
      </w:pPr>
      <w:r>
        <w:rPr>
          <w:sz w:val="22"/>
          <w:szCs w:val="22"/>
        </w:rPr>
        <w:t xml:space="preserve">The coding follows each firm's own index, so it records an indexing change rather than a disclosure change — which is the methodological point the chapter makes. One question back to you: do you know why 201-2 was dropped from the 2025 index? That would turn a coding artefact into a finding about indexes drifting away from disclosures.</w:t>
      </w:r>
    </w:p>
    <w:p>
      <w:pPr>
        <w:pStyle w:val="Heading2"/>
        <w:spacing w:after="120" w:before="280"/>
      </w:pPr>
      <w:r>
        <w:t xml:space="preserve">5. S3, and the materiality point</w:t>
      </w:r>
    </w:p>
    <w:p>
      <w:pPr>
        <w:spacing w:after="140"/>
      </w:pPr>
      <w:r>
        <w:rPr>
          <w:sz w:val="22"/>
          <w:szCs w:val="22"/>
        </w:rPr>
        <w:t xml:space="preserve">Right about the old draft, and now fixed twice over. The rebuilt bridge credits Nomad with S3-1 through S3-4.</w:t>
      </w:r>
    </w:p>
    <w:p>
      <w:pPr>
        <w:spacing w:after="140"/>
      </w:pPr>
      <w:r>
        <w:rPr>
          <w:sz w:val="22"/>
          <w:szCs w:val="22"/>
        </w:rPr>
        <w:t xml:space="preserve">Your broader point — that non-reporting can mean a topic was assessed immaterial — is now in Section 5.6: a requirement recorded as unreported may reflect a deliberate materiality decision, and under both the ESRS and the GRI a firm judging a topic immaterial is not expected to report against it. Your S3 case is named as the example, and the chapter states that no inference about intent or capability is drawn from a zero.</w:t>
      </w:r>
    </w:p>
    <w:p>
      <w:pPr>
        <w:pStyle w:val="Heading2"/>
        <w:spacing w:after="120" w:before="280"/>
      </w:pPr>
      <w:r>
        <w:t xml:space="preserve">6. “These two graphs indicate a change and we think there is no change”</w:t>
      </w:r>
    </w:p>
    <w:p>
      <w:pPr>
        <w:spacing w:after="140"/>
      </w:pPr>
      <w:r>
        <w:rPr>
          <w:sz w:val="22"/>
          <w:szCs w:val="22"/>
        </w:rPr>
        <w:t xml:space="preserve">The year-on-year analysis has been moved out of the chapter into an appendix, and the framing rewritten. It is now explicit that it rests on a reading of the indexes rather than the disclosures, that no claim depends on it, and that only the three firms publishing in both years can be examined at all — so it scrutinises half the cohort and is silent on the rest, which was your point about the other reporters not facing the same question.</w:t>
      </w:r>
    </w:p>
    <w:p>
      <w:pPr>
        <w:pStyle w:val="Heading2"/>
        <w:spacing w:after="120" w:before="280"/>
      </w:pPr>
      <w:r>
        <w:t xml:space="preserve">7. “Your Y-axis starts from 34 to 43, which is judgemental”</w:t>
      </w:r>
    </w:p>
    <w:p>
      <w:pPr>
        <w:spacing w:after="140"/>
      </w:pPr>
      <w:r>
        <w:rPr>
          <w:sz w:val="22"/>
          <w:szCs w:val="22"/>
        </w:rPr>
        <w:t xml:space="preserve">Correct, and fixed. The axis is now zero-based, so a one-requirement move no longer produces a steep curve, and each firm's values are labelled directly. Your percentage suggestion achieves the same thing; the zero-based axis does it without changing units.</w:t>
      </w:r>
    </w:p>
    <w:p>
      <w:pPr>
        <w:pStyle w:val="Heading2"/>
        <w:spacing w:after="120" w:before="280"/>
      </w:pPr>
      <w:r>
        <w:t xml:space="preserve">8. The cohort-invariance figure, and “what if you remove Nomad?”</w:t>
      </w:r>
    </w:p>
    <w:p>
      <w:pPr>
        <w:spacing w:after="140"/>
      </w:pPr>
      <w:r>
        <w:rPr>
          <w:sz w:val="22"/>
          <w:szCs w:val="22"/>
        </w:rPr>
        <w:t xml:space="preserve">All three of your design points are taken, and the underlying claim turned out to be wrong. Your instinct to test it was right.</w:t>
      </w:r>
    </w:p>
    <w:p>
      <w:pPr>
        <w:spacing w:after="140"/>
      </w:pPr>
      <w:r>
        <w:rPr>
          <w:sz w:val="22"/>
          <w:szCs w:val="22"/>
        </w:rPr>
        <w:t xml:space="preserve">I ran every leave-one-out and every leave-two-out. The near-universal set is unchanged only when Thai Union is removed; drop any other firm and it moves — 31 without Nomad, 35 without Bolton, 37 without Profand, 38 without Espersen, 41 without Mowi. The reason is mechanical: at a proportional threshold, removing the broadest reporter withdraws mostly affirmative observations, while removing a narrower one withdraws negatives and promotes requirements sitting just below the line. So the original claim held only for the one firm I happened to test. Section 5.7 now says this plainly.</w:t>
      </w:r>
    </w:p>
    <w:p>
      <w:pPr>
        <w:spacing w:after="140"/>
      </w:pPr>
      <w:r>
        <w:rPr>
          <w:sz w:val="22"/>
          <w:szCs w:val="22"/>
        </w:rPr>
        <w:t xml:space="preserve">The stronger result is underneath it. The 13-requirement universal core is retained under all six leave-one-out subcohorts and all fifteen leave-two-out subcohorts, and can only grow when narrow reporters are removed. That is a floor beneath any subset of the cohort. The figure was rebuilt as two panels showing that contrast, with the heading you suggested.</w:t>
      </w:r>
    </w:p>
    <w:p>
      <w:pPr>
        <w:pStyle w:val="Heading2"/>
        <w:spacing w:after="120" w:before="280"/>
      </w:pPr>
      <w:r>
        <w:t xml:space="preserve">9. Minimum sample size</w:t>
      </w:r>
    </w:p>
    <w:p>
      <w:pPr>
        <w:spacing w:after="140"/>
      </w:pPr>
      <w:r>
        <w:rPr>
          <w:sz w:val="22"/>
          <w:szCs w:val="22"/>
        </w:rPr>
        <w:t xml:space="preserve">Partly answered by the above: removing two of six leaves the core intact, so within this cohort the core is stable down to four firms. What six firms cannot establish is the general minimum, and the thesis does not claim it.</w:t>
      </w:r>
    </w:p>
    <w:p>
      <w:pPr>
        <w:pStyle w:val="Heading2"/>
        <w:spacing w:after="120" w:before="280"/>
      </w:pPr>
      <w:r>
        <w:t xml:space="preserve">10. “They are super homogenous — the main denominator is fish processing”</w:t>
      </w:r>
    </w:p>
    <w:p>
      <w:pPr>
        <w:spacing w:after="140"/>
      </w:pPr>
      <w:r>
        <w:rPr>
          <w:sz w:val="22"/>
          <w:szCs w:val="22"/>
        </w:rPr>
        <w:t xml:space="preserve">Your sharpest point, and it is now conceded in Section 5.1 rather than argued around. The six differ in sourcing model, ownership and regulatory regime, but are alike in the respect that most plausibly drives disclosure: all are processors selling into a common European buyer base, meeting overlapping certification demands and advised by an overlapping professional community.</w:t>
      </w:r>
    </w:p>
    <w:p>
      <w:pPr>
        <w:spacing w:after="140"/>
      </w:pPr>
      <w:r>
        <w:rPr>
          <w:sz w:val="22"/>
          <w:szCs w:val="22"/>
        </w:rPr>
        <w:t xml:space="preserve">What the cohort can establish is that firms facing a common demand environment converge on a common core. What it cannot establish is that the same core would emerge among firms facing different environments. The first is what the thesis claims, and it is what the institutional argument in Chapter 2 predicts — convergence under shared pressure is the expected outcome, not a surprising one. The value of the core is therefore not that it is unexpected but that it is identifiable.</w:t>
      </w:r>
    </w:p>
    <w:p>
      <w:pPr>
        <w:pStyle w:val="Heading2"/>
        <w:spacing w:after="120" w:before="280"/>
      </w:pPr>
      <w:r>
        <w:t xml:space="preserve">11. Parlevliet &amp; van der Plas</w:t>
      </w:r>
    </w:p>
    <w:p>
      <w:pPr>
        <w:spacing w:after="140"/>
      </w:pPr>
      <w:r>
        <w:rPr>
          <w:sz w:val="22"/>
          <w:szCs w:val="22"/>
        </w:rPr>
        <w:t xml:space="preserve">Correct, and now stated in Section 5.2 rather than left out. They publish a report with a GRI content index, so they satisfy every selection criterion. The cohort was capped at six to keep requirement-level manual coding tractable, and the six were chosen to span the sourcing models and both reporting frameworks — so the cap, not the frame, excluded them.</w:t>
      </w:r>
    </w:p>
    <w:p>
      <w:pPr>
        <w:spacing w:after="140"/>
      </w:pPr>
      <w:r>
        <w:rPr>
          <w:sz w:val="22"/>
          <w:szCs w:val="22"/>
        </w:rPr>
        <w:t xml:space="preserve">The consequence is bounded rather than assumed: because the core is retained under every removal of one or two firms and can only widen, a core defined on more firms is no less likely to contain these 13 requirements.</w:t>
      </w:r>
    </w:p>
    <w:p>
      <w:pPr>
        <w:pStyle w:val="Heading1"/>
        <w:spacing w:after="160" w:before="320"/>
      </w:pPr>
      <w:r>
        <w:t xml:space="preserve">Chapter 4 — factual corrections</w:t>
      </w:r>
    </w:p>
    <w:p>
      <w:pPr>
        <w:spacing w:after="140"/>
      </w:pPr>
      <w:r>
        <w:rPr>
          <w:sz w:val="22"/>
          <w:szCs w:val="22"/>
        </w:rPr>
        <w:t xml:space="preserve">All applied throughout the document, as you asked.</w:t>
      </w:r>
    </w:p>
    <w:p>
      <w:pPr>
        <w:pStyle w:val="ListParagraph"/>
        <w:numPr>
          <w:ilvl w:val="0"/>
          <w:numId w:val="1"/>
        </w:numPr>
        <w:spacing w:after="100"/>
      </w:pPr>
      <w:r>
        <w:rPr>
          <w:b/>
          <w:bCs/>
          <w:sz w:val="22"/>
          <w:szCs w:val="22"/>
        </w:rPr>
        <w:t xml:space="preserve">SMETA and EcoVadis are not certifications — </w:t>
      </w:r>
      <w:r>
        <w:rPr>
          <w:sz w:val="22"/>
          <w:szCs w:val="22"/>
        </w:rPr>
        <w:t xml:space="preserve">now described as an audit methodology and an assessment and rating platform, in the thesis, the matrix and the diagnostic tool</w:t>
      </w:r>
    </w:p>
    <w:p>
      <w:pPr>
        <w:pStyle w:val="ListParagraph"/>
        <w:numPr>
          <w:ilvl w:val="0"/>
          <w:numId w:val="1"/>
        </w:numPr>
        <w:spacing w:after="100"/>
      </w:pPr>
      <w:r>
        <w:rPr>
          <w:b/>
          <w:bCs/>
          <w:sz w:val="22"/>
          <w:szCs w:val="22"/>
        </w:rPr>
        <w:t xml:space="preserve">Dow Jones Best-in-Class Indices — </w:t>
      </w:r>
      <w:r>
        <w:rPr>
          <w:sz w:val="22"/>
          <w:szCs w:val="22"/>
        </w:rPr>
        <w:t xml:space="preserve">renamed everywhere, with the February 2025 rename noted</w:t>
      </w:r>
    </w:p>
    <w:p>
      <w:pPr>
        <w:pStyle w:val="ListParagraph"/>
        <w:numPr>
          <w:ilvl w:val="0"/>
          <w:numId w:val="1"/>
        </w:numPr>
        <w:spacing w:after="100"/>
      </w:pPr>
      <w:r>
        <w:rPr>
          <w:b/>
          <w:bCs/>
          <w:sz w:val="22"/>
          <w:szCs w:val="22"/>
        </w:rPr>
        <w:t xml:space="preserve">Retailers demand rather than hold certifications — </w:t>
      </w:r>
      <w:r>
        <w:rPr>
          <w:sz w:val="22"/>
          <w:szCs w:val="22"/>
        </w:rPr>
        <w:t xml:space="preserve">wording corrected</w:t>
      </w:r>
    </w:p>
    <w:p>
      <w:pPr>
        <w:pStyle w:val="ListParagraph"/>
        <w:numPr>
          <w:ilvl w:val="0"/>
          <w:numId w:val="1"/>
        </w:numPr>
        <w:spacing w:after="100"/>
      </w:pPr>
      <w:r>
        <w:rPr>
          <w:b/>
          <w:bCs/>
          <w:sz w:val="22"/>
          <w:szCs w:val="22"/>
        </w:rPr>
        <w:t xml:space="preserve">“Well-resourced” becomes “larger corporates” — </w:t>
      </w:r>
      <w:r>
        <w:rPr>
          <w:sz w:val="22"/>
          <w:szCs w:val="22"/>
        </w:rPr>
        <w:t xml:space="preserve">as you proposed</w:t>
      </w:r>
    </w:p>
    <w:p>
      <w:pPr>
        <w:pStyle w:val="ListParagraph"/>
        <w:numPr>
          <w:ilvl w:val="0"/>
          <w:numId w:val="1"/>
        </w:numPr>
        <w:spacing w:after="100"/>
      </w:pPr>
      <w:r>
        <w:rPr>
          <w:b/>
          <w:bCs/>
          <w:sz w:val="22"/>
          <w:szCs w:val="22"/>
        </w:rPr>
        <w:t xml:space="preserve">EU Taxonomy — </w:t>
      </w:r>
      <w:r>
        <w:rPr>
          <w:sz w:val="22"/>
          <w:szCs w:val="22"/>
        </w:rPr>
        <w:t xml:space="preserve">added to the glossary</w:t>
      </w:r>
    </w:p>
    <w:p>
      <w:pPr>
        <w:pStyle w:val="ListParagraph"/>
        <w:numPr>
          <w:ilvl w:val="0"/>
          <w:numId w:val="1"/>
        </w:numPr>
        <w:spacing w:after="100"/>
      </w:pPr>
      <w:r>
        <w:rPr>
          <w:b/>
          <w:bCs/>
          <w:sz w:val="22"/>
          <w:szCs w:val="22"/>
        </w:rPr>
        <w:t xml:space="preserve">Regulation and Directive — </w:t>
      </w:r>
      <w:r>
        <w:rPr>
          <w:sz w:val="22"/>
          <w:szCs w:val="22"/>
        </w:rPr>
        <w:t xml:space="preserve">spelled out in Figure 2</w:t>
      </w:r>
    </w:p>
    <w:p>
      <w:pPr>
        <w:pStyle w:val="ListParagraph"/>
        <w:numPr>
          <w:ilvl w:val="0"/>
          <w:numId w:val="1"/>
        </w:numPr>
        <w:spacing w:after="100"/>
      </w:pPr>
      <w:r>
        <w:rPr>
          <w:b/>
          <w:bCs/>
          <w:sz w:val="22"/>
          <w:szCs w:val="22"/>
        </w:rPr>
        <w:t xml:space="preserve">ISSF — </w:t>
      </w:r>
      <w:r>
        <w:rPr>
          <w:sz w:val="22"/>
          <w:szCs w:val="22"/>
        </w:rPr>
        <w:t xml:space="preserve">kept in Tier 4, because the tier classifies obligation type and ISSF is genuinely voluntary — but your reading is recorded: practitioners treat it as a transitional step, and sustained membership in place of MSC can signal the absence of certification rather than leadership</w:t>
      </w:r>
    </w:p>
    <w:p>
      <w:pPr>
        <w:pStyle w:val="ListParagraph"/>
        <w:numPr>
          <w:ilvl w:val="0"/>
          <w:numId w:val="1"/>
        </w:numPr>
        <w:spacing w:after="100"/>
      </w:pPr>
      <w:r>
        <w:rPr>
          <w:b/>
          <w:bCs/>
          <w:sz w:val="22"/>
          <w:szCs w:val="22"/>
        </w:rPr>
        <w:t xml:space="preserve">RSPO but not RTRS, ProTerra, FSC or PEFC — </w:t>
      </w:r>
      <w:r>
        <w:rPr>
          <w:sz w:val="22"/>
          <w:szCs w:val="22"/>
        </w:rPr>
        <w:t xml:space="preserve">now justified: the soy and timber schemes are excluded on the same reasoning, and RSPO is catalogued because palm is the commodity most often present in a processor's own inputs</w:t>
      </w:r>
    </w:p>
    <w:p>
      <w:pPr>
        <w:pStyle w:val="ListParagraph"/>
        <w:numPr>
          <w:ilvl w:val="0"/>
          <w:numId w:val="1"/>
        </w:numPr>
        <w:spacing w:after="100"/>
      </w:pPr>
      <w:r>
        <w:rPr>
          <w:b/>
          <w:bCs/>
          <w:sz w:val="22"/>
          <w:szCs w:val="22"/>
        </w:rPr>
        <w:t xml:space="preserve">“Only laws, or customer requirements as well?” — </w:t>
      </w:r>
      <w:r>
        <w:rPr>
          <w:sz w:val="22"/>
          <w:szCs w:val="22"/>
        </w:rPr>
        <w:t xml:space="preserve">Tier 1 is now explicitly restricted to legal obligation, with the customer equivalent separated into Tier 2, because breaching Tier 1 means a firm cannot lawfully trade whereas failing Tier 2 costs it one customer</w:t>
      </w:r>
    </w:p>
    <w:p>
      <w:pPr>
        <w:pStyle w:val="Heading1"/>
        <w:spacing w:after="160" w:before="320"/>
      </w:pPr>
      <w:r>
        <w:t xml:space="preserve">Chapter 6 — the 45 comments</w:t>
      </w:r>
    </w:p>
    <w:p>
      <w:pPr>
        <w:spacing w:after="140"/>
      </w:pPr>
      <w:r>
        <w:rPr>
          <w:sz w:val="22"/>
          <w:szCs w:val="22"/>
        </w:rPr>
        <w:t xml:space="preserve">The ones that changed substance:</w:t>
      </w:r>
    </w:p>
    <w:p>
      <w:pPr>
        <w:pStyle w:val="ListParagraph"/>
        <w:numPr>
          <w:ilvl w:val="0"/>
          <w:numId w:val="1"/>
        </w:numPr>
        <w:spacing w:after="100"/>
      </w:pPr>
      <w:r>
        <w:rPr>
          <w:b/>
          <w:bCs/>
          <w:sz w:val="22"/>
          <w:szCs w:val="22"/>
        </w:rPr>
        <w:t xml:space="preserve">MSC and ASC are full standards — </w:t>
      </w:r>
      <w:r>
        <w:rPr>
          <w:sz w:val="22"/>
          <w:szCs w:val="22"/>
        </w:rPr>
        <w:t xml:space="preserve">the text implied they reduce to Principle 1 and to feed and antibiotic limits. Rewritten: the examples are explicitly illustrative, MSC's three principles are named, and it now states that a supplier is certified against the whole standard, never a single principle</w:t>
      </w:r>
    </w:p>
    <w:p>
      <w:pPr>
        <w:pStyle w:val="ListParagraph"/>
        <w:numPr>
          <w:ilvl w:val="0"/>
          <w:numId w:val="1"/>
        </w:numPr>
        <w:spacing w:after="100"/>
      </w:pPr>
      <w:r>
        <w:rPr>
          <w:b/>
          <w:bCs/>
          <w:sz w:val="22"/>
          <w:szCs w:val="22"/>
        </w:rPr>
        <w:t xml:space="preserve">Traceability is an assurance mechanism, not a stock-health measure — </w:t>
      </w:r>
      <w:r>
        <w:rPr>
          <w:sz w:val="22"/>
          <w:szCs w:val="22"/>
        </w:rPr>
        <w:t xml:space="preserve">your line — that one can have complete traceability from an overfished stock — is now the basis of a paragraph distinguishing outcome measures from assurance mechanisms, and stating that traceability's high demand score records how many instruments require it, not that meeting it evidences a sustainability outcome</w:t>
      </w:r>
    </w:p>
    <w:p>
      <w:pPr>
        <w:pStyle w:val="ListParagraph"/>
        <w:numPr>
          <w:ilvl w:val="0"/>
          <w:numId w:val="1"/>
        </w:numPr>
        <w:spacing w:after="100"/>
      </w:pPr>
      <w:r>
        <w:rPr>
          <w:b/>
          <w:bCs/>
          <w:sz w:val="22"/>
          <w:szCs w:val="22"/>
        </w:rPr>
        <w:t xml:space="preserve">SMEs do influence fisheries through purchasing policy — </w:t>
      </w:r>
      <w:r>
        <w:rPr>
          <w:sz w:val="22"/>
          <w:szCs w:val="22"/>
        </w:rPr>
        <w:t xml:space="preserve">the Argentine hake example is now in Section 6.3, cited to you</w:t>
      </w:r>
    </w:p>
    <w:p>
      <w:pPr>
        <w:pStyle w:val="ListParagraph"/>
        <w:numPr>
          <w:ilvl w:val="0"/>
          <w:numId w:val="1"/>
        </w:numPr>
        <w:spacing w:after="100"/>
      </w:pPr>
      <w:r>
        <w:rPr>
          <w:b/>
          <w:bCs/>
          <w:sz w:val="22"/>
          <w:szCs w:val="22"/>
        </w:rPr>
        <w:t xml:space="preserve">FisheryProgress is not a standard, and FIPs are self-assessed — </w:t>
      </w:r>
      <w:r>
        <w:rPr>
          <w:sz w:val="22"/>
          <w:szCs w:val="22"/>
        </w:rPr>
        <w:t xml:space="preserve">this is now the stated reason for excluding it, rather than a bare assertion</w:t>
      </w:r>
    </w:p>
    <w:p>
      <w:pPr>
        <w:pStyle w:val="ListParagraph"/>
        <w:numPr>
          <w:ilvl w:val="0"/>
          <w:numId w:val="1"/>
        </w:numPr>
        <w:spacing w:after="100"/>
      </w:pPr>
      <w:r>
        <w:rPr>
          <w:b/>
          <w:bCs/>
          <w:sz w:val="22"/>
          <w:szCs w:val="22"/>
        </w:rPr>
        <w:t xml:space="preserve">BRCGS and IFS require chain of custody — </w:t>
      </w:r>
      <w:r>
        <w:rPr>
          <w:sz w:val="22"/>
          <w:szCs w:val="22"/>
        </w:rPr>
        <w:t xml:space="preserve">now explicitly recorded as enablers rather than scored columns, so the decision is documented instead of invisible</w:t>
      </w:r>
    </w:p>
    <w:p>
      <w:pPr>
        <w:pStyle w:val="ListParagraph"/>
        <w:numPr>
          <w:ilvl w:val="0"/>
          <w:numId w:val="1"/>
        </w:numPr>
        <w:spacing w:after="100"/>
      </w:pPr>
      <w:r>
        <w:rPr>
          <w:b/>
          <w:bCs/>
          <w:sz w:val="22"/>
          <w:szCs w:val="22"/>
        </w:rPr>
        <w:t xml:space="preserve">The 26-versus-28 confusion — </w:t>
      </w:r>
      <w:r>
        <w:rPr>
          <w:sz w:val="22"/>
          <w:szCs w:val="22"/>
        </w:rPr>
        <w:t xml:space="preserve">you tried twice to reconcile it. There is now a five-step numbered funnel using each number once: 70 requirements, 28, 29, plus 4, giving 33 rows against 31 columns and 1,023 cells</w:t>
      </w:r>
    </w:p>
    <w:p>
      <w:pPr>
        <w:pStyle w:val="ListParagraph"/>
        <w:numPr>
          <w:ilvl w:val="0"/>
          <w:numId w:val="1"/>
        </w:numPr>
        <w:spacing w:after="100"/>
      </w:pPr>
      <w:r>
        <w:rPr>
          <w:b/>
          <w:bCs/>
          <w:sz w:val="22"/>
          <w:szCs w:val="22"/>
        </w:rPr>
        <w:t xml:space="preserve">Stakeholder salience — </w:t>
      </w:r>
      <w:r>
        <w:rPr>
          <w:sz w:val="22"/>
          <w:szCs w:val="22"/>
        </w:rPr>
        <w:t xml:space="preserve">you reconstructed power, legitimacy and urgency independently. They are now named, and your addition of resources is written in as a fourth constraint the SME case introduces which Mitchell treats as given</w:t>
      </w:r>
    </w:p>
    <w:p>
      <w:pPr>
        <w:pStyle w:val="ListParagraph"/>
        <w:numPr>
          <w:ilvl w:val="0"/>
          <w:numId w:val="1"/>
        </w:numPr>
        <w:spacing w:after="100"/>
      </w:pPr>
      <w:r>
        <w:rPr>
          <w:b/>
          <w:bCs/>
          <w:sz w:val="22"/>
          <w:szCs w:val="22"/>
        </w:rPr>
        <w:t xml:space="preserve">The labour-standards disconnect — </w:t>
      </w:r>
      <w:r>
        <w:rPr>
          <w:sz w:val="22"/>
          <w:szCs w:val="22"/>
        </w:rPr>
        <w:t xml:space="preserve">promoted to an explicit finding, as you suggested</w:t>
      </w:r>
    </w:p>
    <w:p>
      <w:pPr>
        <w:pStyle w:val="ListParagraph"/>
        <w:numPr>
          <w:ilvl w:val="0"/>
          <w:numId w:val="1"/>
        </w:numPr>
        <w:spacing w:after="100"/>
      </w:pPr>
      <w:r>
        <w:rPr>
          <w:b/>
          <w:bCs/>
          <w:sz w:val="22"/>
          <w:szCs w:val="22"/>
        </w:rPr>
        <w:t xml:space="preserve">F-gas — </w:t>
      </w:r>
      <w:r>
        <w:rPr>
          <w:sz w:val="22"/>
          <w:szCs w:val="22"/>
        </w:rPr>
        <w:t xml:space="preserve">you were right to be sceptical. It was wrongly grouped with the production-system switches; it turns on refrigeration equipment and is switched on for the modelled firm</w:t>
      </w:r>
    </w:p>
    <w:p>
      <w:pPr>
        <w:spacing w:after="140"/>
      </w:pPr>
      <w:r>
        <w:rPr>
          <w:sz w:val="22"/>
          <w:szCs w:val="22"/>
        </w:rPr>
        <w:t xml:space="preserve">The wording comments — the long unpackable sentence, “loose” versus “broad”, the missing examples, the question-mark headings, lower case, the repetition — are all applied.</w:t>
      </w:r>
    </w:p>
    <w:p>
      <w:pPr>
        <w:pBdr>
          <w:bottom w:val="single" w:color="BBBBBB" w:sz="6"/>
        </w:pBdr>
        <w:spacing w:after="200"/>
      </w:pPr>
    </w:p>
    <w:p>
      <w:pPr>
        <w:pStyle w:val="Heading1"/>
        <w:spacing w:after="160" w:before="320"/>
      </w:pPr>
      <w:r>
        <w:t xml:space="preserve">Still needed from you</w:t>
      </w:r>
    </w:p>
    <w:p>
      <w:pPr>
        <w:pStyle w:val="ListParagraph"/>
        <w:numPr>
          <w:ilvl w:val="0"/>
          <w:numId w:val="1"/>
        </w:numPr>
        <w:spacing w:after="100"/>
      </w:pPr>
      <w:r>
        <w:rPr>
          <w:sz w:val="22"/>
          <w:szCs w:val="22"/>
        </w:rPr>
        <w:t xml:space="preserve">Approval to be named. I would like to thank you in the acknowledgements regardless of whether Nomad itself can be named.</w:t>
      </w:r>
    </w:p>
    <w:p>
      <w:pPr>
        <w:pStyle w:val="ListParagraph"/>
        <w:numPr>
          <w:ilvl w:val="0"/>
          <w:numId w:val="1"/>
        </w:numPr>
        <w:spacing w:after="100"/>
      </w:pPr>
      <w:r>
        <w:rPr>
          <w:sz w:val="22"/>
          <w:szCs w:val="22"/>
        </w:rPr>
        <w:t xml:space="preserve">Whether you know why GRI 201-2 left the 2025 index.</w:t>
      </w:r>
    </w:p>
    <w:p>
      <w:pPr>
        <w:pStyle w:val="ListParagraph"/>
        <w:numPr>
          <w:ilvl w:val="0"/>
          <w:numId w:val="1"/>
        </w:numPr>
        <w:spacing w:after="100"/>
      </w:pPr>
      <w:r>
        <w:rPr>
          <w:sz w:val="22"/>
          <w:szCs w:val="22"/>
        </w:rPr>
        <w:t xml:space="preserve">Kata, on Seafood Europe membership — whether any large European player is not a member. This is the one comment I cannot close without help.</w:t>
      </w:r>
    </w:p>
    <w:p>
      <w:pPr>
        <w:pStyle w:val="Heading2"/>
        <w:spacing w:after="120" w:before="280"/>
      </w:pPr>
      <w:r>
        <w:t xml:space="preserve">And on your question, “are you asking for exactly that due diligence?”</w:t>
      </w:r>
    </w:p>
    <w:p>
      <w:pPr>
        <w:spacing w:after="140"/>
      </w:pPr>
      <w:r>
        <w:rPr>
          <w:sz w:val="22"/>
          <w:szCs w:val="22"/>
        </w:rPr>
        <w:t xml:space="preserve">Not the full workbook check — that is more than the thesis needs and more than you have capacity for. The highest-value items are the two above: confirming E1-7 and E4-1, which only Nomad can settle, and the Seafood Europe question. Everything else is now either answered or bounded.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2026-08-08T09:32:59.463Z</dcterms:created>
  <dcterms:modified xsi:type="dcterms:W3CDTF">2026-08-08T09:32:59.463Z</dcterms:modified>
</cp:coreProperties>
</file>

<file path=docProps/custom.xml><?xml version="1.0" encoding="utf-8"?>
<Properties xmlns="http://schemas.openxmlformats.org/officeDocument/2006/custom-properties" xmlns:vt="http://schemas.openxmlformats.org/officeDocument/2006/docPropsVTypes"/>
</file>