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A22" w:rsidRDefault="00420368" w:rsidP="00420368">
      <w:pPr>
        <w:pStyle w:val="Title"/>
      </w:pPr>
      <w:r>
        <w:t>Edge cell</w:t>
      </w:r>
      <w:r w:rsidR="001D2B2A">
        <w:t>s</w:t>
      </w:r>
      <w:r>
        <w:t xml:space="preserve"> analysis</w:t>
      </w:r>
    </w:p>
    <w:p w:rsidR="00420368" w:rsidRDefault="00420368" w:rsidP="00420368">
      <w:pPr>
        <w:pStyle w:val="Heading1"/>
      </w:pPr>
      <w:r>
        <w:t xml:space="preserve">Two environments experiment (L shape vs. linear): </w:t>
      </w:r>
    </w:p>
    <w:p w:rsidR="001D2B2A" w:rsidRPr="001D2B2A" w:rsidRDefault="001D2B2A" w:rsidP="001D2B2A">
      <w:r>
        <w:t xml:space="preserve">Commit: </w:t>
      </w:r>
      <w:r>
        <w:rPr>
          <w:rFonts w:ascii="Segoe UI" w:hAnsi="Segoe UI" w:cs="Segoe UI"/>
          <w:color w:val="24292E"/>
          <w:sz w:val="17"/>
          <w:szCs w:val="17"/>
          <w:shd w:val="clear" w:color="auto" w:fill="FFFFFF"/>
        </w:rPr>
        <w:t>7a87cdc</w:t>
      </w:r>
    </w:p>
    <w:p w:rsidR="00420368" w:rsidRDefault="0019181D" w:rsidP="00420368">
      <w:pPr>
        <w:rPr>
          <w:sz w:val="24"/>
          <w:szCs w:val="24"/>
        </w:rPr>
      </w:pPr>
      <w:r w:rsidRPr="0019181D">
        <w:rPr>
          <w:sz w:val="24"/>
          <w:szCs w:val="24"/>
        </w:rPr>
        <w:t>I</w:t>
      </w:r>
      <w:r>
        <w:rPr>
          <w:sz w:val="24"/>
          <w:szCs w:val="24"/>
        </w:rPr>
        <w:t xml:space="preserve"> wanted to examine where edge cells from environment fire at another environment.</w:t>
      </w:r>
    </w:p>
    <w:p w:rsidR="0019181D" w:rsidRDefault="0019181D" w:rsidP="0019181D">
      <w:pPr>
        <w:rPr>
          <w:sz w:val="24"/>
          <w:szCs w:val="24"/>
        </w:rPr>
      </w:pPr>
      <w:r>
        <w:rPr>
          <w:sz w:val="24"/>
          <w:szCs w:val="24"/>
        </w:rPr>
        <w:t xml:space="preserve">To do so, I used the data from the two environments experiment (elife 2015, c6m4, c7m4, c11m1, c13m1). I used the </w:t>
      </w:r>
      <w:r w:rsidRPr="0019181D">
        <w:rPr>
          <w:b/>
          <w:bCs/>
          <w:sz w:val="24"/>
          <w:szCs w:val="24"/>
        </w:rPr>
        <w:t>elaborated events matrix</w:t>
      </w:r>
      <w:r>
        <w:rPr>
          <w:sz w:val="24"/>
          <w:szCs w:val="24"/>
        </w:rPr>
        <w:t xml:space="preserve">, meaning that entry of the matrix was ‘1’ from the rise time and until the peak of the event.  </w:t>
      </w:r>
      <w:r>
        <w:rPr>
          <w:sz w:val="24"/>
          <w:szCs w:val="24"/>
        </w:rPr>
        <w:t xml:space="preserve">Each track was divided into </w:t>
      </w:r>
      <w:r w:rsidRPr="002866CC">
        <w:rPr>
          <w:b/>
          <w:bCs/>
          <w:sz w:val="24"/>
          <w:szCs w:val="24"/>
        </w:rPr>
        <w:t>12 bins</w:t>
      </w:r>
      <w:r>
        <w:rPr>
          <w:sz w:val="24"/>
          <w:szCs w:val="24"/>
        </w:rPr>
        <w:t xml:space="preserve">, and the first and last </w:t>
      </w:r>
      <w:r w:rsidRPr="002866CC">
        <w:rPr>
          <w:b/>
          <w:bCs/>
          <w:sz w:val="24"/>
          <w:szCs w:val="24"/>
        </w:rPr>
        <w:t>2 bins were the “edges”</w:t>
      </w:r>
      <w:r>
        <w:rPr>
          <w:sz w:val="24"/>
          <w:szCs w:val="24"/>
        </w:rPr>
        <w:t xml:space="preserve"> of the track.</w:t>
      </w:r>
      <w:r>
        <w:rPr>
          <w:sz w:val="24"/>
          <w:szCs w:val="24"/>
        </w:rPr>
        <w:t xml:space="preserve"> Edge cells were defined as cells that were active at the </w:t>
      </w:r>
      <w:r w:rsidRPr="002866CC">
        <w:rPr>
          <w:b/>
          <w:bCs/>
          <w:sz w:val="24"/>
          <w:szCs w:val="24"/>
        </w:rPr>
        <w:t>first 2 seconds of arriving at the edge</w:t>
      </w:r>
      <w:r>
        <w:rPr>
          <w:sz w:val="24"/>
          <w:szCs w:val="24"/>
        </w:rPr>
        <w:t xml:space="preserve">, for </w:t>
      </w:r>
      <w:r w:rsidRPr="002866CC">
        <w:rPr>
          <w:b/>
          <w:bCs/>
          <w:sz w:val="24"/>
          <w:szCs w:val="24"/>
        </w:rPr>
        <w:t>50% of their activity</w:t>
      </w:r>
      <w:r>
        <w:rPr>
          <w:sz w:val="24"/>
          <w:szCs w:val="24"/>
        </w:rPr>
        <w:t xml:space="preserve">, with </w:t>
      </w:r>
      <w:r w:rsidRPr="00C76CF4">
        <w:rPr>
          <w:b/>
          <w:bCs/>
          <w:sz w:val="24"/>
          <w:szCs w:val="24"/>
        </w:rPr>
        <w:t xml:space="preserve">minimum </w:t>
      </w:r>
      <w:r w:rsidR="00C76CF4" w:rsidRPr="00C76CF4">
        <w:rPr>
          <w:b/>
          <w:bCs/>
          <w:sz w:val="24"/>
          <w:szCs w:val="24"/>
        </w:rPr>
        <w:t>number of 10 events</w:t>
      </w:r>
      <w:r w:rsidR="00C76CF4">
        <w:rPr>
          <w:sz w:val="24"/>
          <w:szCs w:val="24"/>
        </w:rPr>
        <w:t xml:space="preserve"> </w:t>
      </w:r>
      <w:r>
        <w:rPr>
          <w:sz w:val="24"/>
          <w:szCs w:val="24"/>
        </w:rPr>
        <w:t>to the entire session.</w:t>
      </w:r>
      <w:r w:rsidR="006A6AC9">
        <w:rPr>
          <w:sz w:val="24"/>
          <w:szCs w:val="24"/>
        </w:rPr>
        <w:t xml:space="preserve"> (the reason that it is different from the previous definition is because it is using the PPGUI data in long tracks (100 cm))</w:t>
      </w:r>
    </w:p>
    <w:p w:rsidR="001D2B2A" w:rsidRDefault="00AE2B0F" w:rsidP="001D2B2A">
      <w:pPr>
        <w:rPr>
          <w:sz w:val="24"/>
          <w:szCs w:val="24"/>
        </w:rPr>
      </w:pPr>
      <w:r>
        <w:rPr>
          <w:sz w:val="24"/>
          <w:szCs w:val="24"/>
        </w:rPr>
        <w:t xml:space="preserve">After finding for each session its edge cells, I looked at each edge cell’s histogram of events per bin (from both environments) and correlated between them. It is not necessary that edge cell that passed the criterion in one environment will pass it on the other environment as well, but the idea is to see that even </w:t>
      </w:r>
      <w:r w:rsidR="001D2B2A">
        <w:rPr>
          <w:sz w:val="24"/>
          <w:szCs w:val="24"/>
        </w:rPr>
        <w:t>when the</w:t>
      </w:r>
      <w:r>
        <w:rPr>
          <w:sz w:val="24"/>
          <w:szCs w:val="24"/>
        </w:rPr>
        <w:t xml:space="preserve"> cell does not pass the criterion, it preserves its firing location. I then look</w:t>
      </w:r>
      <w:r w:rsidR="001D2B2A">
        <w:rPr>
          <w:sz w:val="24"/>
          <w:szCs w:val="24"/>
        </w:rPr>
        <w:t>ed at the fraction of cells with correlation above 0.65 for each mouse:</w:t>
      </w:r>
      <w:r w:rsidR="001D2B2A">
        <w:rPr>
          <w:noProof/>
          <w:sz w:val="24"/>
          <w:szCs w:val="24"/>
        </w:rPr>
        <w:drawing>
          <wp:inline distT="0" distB="0" distL="0" distR="0">
            <wp:extent cx="5486400" cy="225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6m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2254250"/>
                    </a:xfrm>
                    <a:prstGeom prst="rect">
                      <a:avLst/>
                    </a:prstGeom>
                  </pic:spPr>
                </pic:pic>
              </a:graphicData>
            </a:graphic>
          </wp:inline>
        </w:drawing>
      </w:r>
    </w:p>
    <w:p w:rsidR="001D2B2A" w:rsidRDefault="001D2B2A" w:rsidP="001D2B2A">
      <w:pPr>
        <w:rPr>
          <w:sz w:val="24"/>
          <w:szCs w:val="24"/>
        </w:rPr>
      </w:pPr>
      <w:r>
        <w:rPr>
          <w:noProof/>
          <w:sz w:val="24"/>
          <w:szCs w:val="24"/>
        </w:rPr>
        <w:lastRenderedPageBreak/>
        <w:drawing>
          <wp:inline distT="0" distB="0" distL="0" distR="0">
            <wp:extent cx="5486400" cy="2326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7m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326005"/>
                    </a:xfrm>
                    <a:prstGeom prst="rect">
                      <a:avLst/>
                    </a:prstGeom>
                  </pic:spPr>
                </pic:pic>
              </a:graphicData>
            </a:graphic>
          </wp:inline>
        </w:drawing>
      </w:r>
    </w:p>
    <w:p w:rsidR="001D2B2A" w:rsidRDefault="001D2B2A" w:rsidP="001D2B2A">
      <w:pPr>
        <w:rPr>
          <w:sz w:val="24"/>
          <w:szCs w:val="24"/>
        </w:rPr>
      </w:pPr>
      <w:r>
        <w:rPr>
          <w:noProof/>
          <w:sz w:val="24"/>
          <w:szCs w:val="24"/>
        </w:rPr>
        <w:drawing>
          <wp:inline distT="0" distB="0" distL="0" distR="0">
            <wp:extent cx="5486400" cy="23361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1m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336165"/>
                    </a:xfrm>
                    <a:prstGeom prst="rect">
                      <a:avLst/>
                    </a:prstGeom>
                  </pic:spPr>
                </pic:pic>
              </a:graphicData>
            </a:graphic>
          </wp:inline>
        </w:drawing>
      </w:r>
      <w:r>
        <w:rPr>
          <w:noProof/>
          <w:sz w:val="24"/>
          <w:szCs w:val="24"/>
        </w:rPr>
        <w:drawing>
          <wp:inline distT="0" distB="0" distL="0" distR="0">
            <wp:extent cx="5486400" cy="2138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13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138045"/>
                    </a:xfrm>
                    <a:prstGeom prst="rect">
                      <a:avLst/>
                    </a:prstGeom>
                  </pic:spPr>
                </pic:pic>
              </a:graphicData>
            </a:graphic>
          </wp:inline>
        </w:drawing>
      </w:r>
    </w:p>
    <w:p w:rsidR="004139FC" w:rsidRDefault="004139FC" w:rsidP="001D2B2A">
      <w:pPr>
        <w:rPr>
          <w:sz w:val="24"/>
          <w:szCs w:val="24"/>
        </w:rPr>
      </w:pPr>
      <w:r>
        <w:rPr>
          <w:noProof/>
          <w:sz w:val="24"/>
          <w:szCs w:val="24"/>
        </w:rPr>
        <w:lastRenderedPageBreak/>
        <w:drawing>
          <wp:inline distT="0" distB="0" distL="0" distR="0">
            <wp:extent cx="54864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l mice summar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5D487F" w:rsidRDefault="005D487F" w:rsidP="001243AA">
      <w:pPr>
        <w:rPr>
          <w:sz w:val="24"/>
          <w:szCs w:val="24"/>
        </w:rPr>
      </w:pPr>
      <w:r>
        <w:rPr>
          <w:sz w:val="24"/>
          <w:szCs w:val="24"/>
        </w:rPr>
        <w:t xml:space="preserve">The </w:t>
      </w:r>
      <w:r w:rsidR="001243AA">
        <w:rPr>
          <w:sz w:val="24"/>
          <w:szCs w:val="24"/>
        </w:rPr>
        <w:t>fraction</w:t>
      </w:r>
      <w:r>
        <w:rPr>
          <w:sz w:val="24"/>
          <w:szCs w:val="24"/>
        </w:rPr>
        <w:t xml:space="preserve"> of the high correlation edge cells do remind the numbers at </w:t>
      </w:r>
      <w:r>
        <w:rPr>
          <w:sz w:val="24"/>
          <w:szCs w:val="24"/>
        </w:rPr>
        <w:fldChar w:fldCharType="begin" w:fldLock="1"/>
      </w:r>
      <w:r>
        <w:rPr>
          <w:sz w:val="24"/>
          <w:szCs w:val="24"/>
        </w:rPr>
        <w:instrText>ADDIN CSL_CITATION {"citationItems":[{"id":"ITEM-1","itemData":{"DOI":"10.1016/j.neuron.2018.06.008","ISSN":"08966273","author":[{"dropping-particle":"","family":"Gauthier","given":"Jeffrey L.","non-dropping-particle":"","parse-names":false,"suffix":""},{"dropping-particle":"","family":"Tank","given":"David W.","non-dropping-particle":"","parse-names":false,"suffix":""}],"container-title":"Neuron","id":"ITEM-1","issue":"1","issued":{"date-parts":[["2018","7"]]},"page":"179-193.e7","title":"A Dedicated Population for Reward Coding in the Hippocampus","type":"article-journal","volume":"99"},"uris":["http://www.mendeley.com/documents/?uuid=fb059701-5ce1-3286-87a4-a6dfa8218a5b"]}],"mendeley":{"formattedCitation":"(Gauthier and Tank, 2018)","plainTextFormattedCitation":"(Gauthier and Tank, 2018)"},"properties":{"noteIndex":0},"schema":"https://github.com/citation-style-language/schema/raw/master/csl-citation.json"}</w:instrText>
      </w:r>
      <w:r>
        <w:rPr>
          <w:sz w:val="24"/>
          <w:szCs w:val="24"/>
        </w:rPr>
        <w:fldChar w:fldCharType="separate"/>
      </w:r>
      <w:r w:rsidRPr="005D487F">
        <w:rPr>
          <w:noProof/>
          <w:sz w:val="24"/>
          <w:szCs w:val="24"/>
        </w:rPr>
        <w:t>(Gauthier and Tank, 2018)</w:t>
      </w:r>
      <w:r>
        <w:rPr>
          <w:sz w:val="24"/>
          <w:szCs w:val="24"/>
        </w:rPr>
        <w:fldChar w:fldCharType="end"/>
      </w:r>
      <w:r>
        <w:rPr>
          <w:sz w:val="24"/>
          <w:szCs w:val="24"/>
        </w:rPr>
        <w:t>, yet it is variable through parameter choosing.</w:t>
      </w:r>
    </w:p>
    <w:p w:rsidR="00D40963" w:rsidRDefault="00D40963" w:rsidP="001243AA">
      <w:pPr>
        <w:rPr>
          <w:sz w:val="24"/>
          <w:szCs w:val="24"/>
        </w:rPr>
      </w:pPr>
    </w:p>
    <w:p w:rsidR="00D40963" w:rsidRDefault="00D40963" w:rsidP="001243AA">
      <w:pPr>
        <w:rPr>
          <w:sz w:val="24"/>
          <w:szCs w:val="24"/>
        </w:rPr>
      </w:pPr>
      <w:bookmarkStart w:id="0" w:name="_GoBack"/>
      <w:bookmarkEnd w:id="0"/>
    </w:p>
    <w:p w:rsidR="001243AA" w:rsidRDefault="001243AA" w:rsidP="001D2B2A">
      <w:pPr>
        <w:rPr>
          <w:sz w:val="24"/>
          <w:szCs w:val="24"/>
        </w:rPr>
      </w:pPr>
    </w:p>
    <w:p w:rsidR="00A7714B" w:rsidRDefault="00A7714B" w:rsidP="001D2B2A">
      <w:pPr>
        <w:rPr>
          <w:sz w:val="24"/>
          <w:szCs w:val="24"/>
        </w:rPr>
      </w:pPr>
    </w:p>
    <w:p w:rsidR="00FE22C2" w:rsidRDefault="00FE22C2" w:rsidP="0019181D">
      <w:pPr>
        <w:rPr>
          <w:sz w:val="24"/>
          <w:szCs w:val="24"/>
        </w:rPr>
      </w:pPr>
    </w:p>
    <w:p w:rsidR="0019181D" w:rsidRPr="0019181D" w:rsidRDefault="0019181D" w:rsidP="0019181D">
      <w:pPr>
        <w:rPr>
          <w:sz w:val="24"/>
          <w:szCs w:val="24"/>
        </w:rPr>
      </w:pPr>
    </w:p>
    <w:p w:rsidR="00420368" w:rsidRDefault="00420368"/>
    <w:sectPr w:rsidR="004203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368"/>
    <w:rsid w:val="001243AA"/>
    <w:rsid w:val="0019181D"/>
    <w:rsid w:val="001D2B2A"/>
    <w:rsid w:val="002866CC"/>
    <w:rsid w:val="004139FC"/>
    <w:rsid w:val="00420368"/>
    <w:rsid w:val="005D487F"/>
    <w:rsid w:val="006A6AC9"/>
    <w:rsid w:val="00A7714B"/>
    <w:rsid w:val="00AE2B0F"/>
    <w:rsid w:val="00C42A22"/>
    <w:rsid w:val="00C76CF4"/>
    <w:rsid w:val="00D40963"/>
    <w:rsid w:val="00FD4DA7"/>
    <w:rsid w:val="00FE22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39AC"/>
  <w15:chartTrackingRefBased/>
  <w15:docId w15:val="{BB2C10A5-8327-447B-B9B3-B0024890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03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36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203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3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B6067-6409-4ECF-A417-8821A9C34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354</Words>
  <Characters>2020</Characters>
  <Application>Microsoft Office Word</Application>
  <DocSecurity>0</DocSecurity>
  <Lines>16</Lines>
  <Paragraphs>4</Paragraphs>
  <ScaleCrop>false</ScaleCrop>
  <Company>Weizmann Institute of Science</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Linor Balilti-Torgeman</dc:creator>
  <cp:keywords/>
  <dc:description/>
  <cp:lastModifiedBy>Linor Balilti-Torgeman</cp:lastModifiedBy>
  <cp:revision>15</cp:revision>
  <dcterms:created xsi:type="dcterms:W3CDTF">2018-08-19T10:25:00Z</dcterms:created>
  <dcterms:modified xsi:type="dcterms:W3CDTF">2018-08-19T11:55:00Z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http://www.zotero.org/styles/neuron</vt:lpwstr>
  </property>
  <property fmtid="{D5CDD505-2E9C-101B-9397-08002B2CF9AE}" pid="21" name="Mendeley Recent Style Name 9_1">
    <vt:lpwstr>Neuron</vt:lpwstr>
  </property>
  <property fmtid="{D5CDD505-2E9C-101B-9397-08002B2CF9AE}" pid="22" name="Mendeley Document_1">
    <vt:lpwstr>True</vt:lpwstr>
  </property>
  <property fmtid="{D5CDD505-2E9C-101B-9397-08002B2CF9AE}" pid="23" name="Mendeley Unique User Id_1">
    <vt:lpwstr>e7672698-f17a-36de-96c0-7ec5cfd1b603</vt:lpwstr>
  </property>
  <property fmtid="{D5CDD505-2E9C-101B-9397-08002B2CF9AE}" pid="24" name="Mendeley Citation Style_1">
    <vt:lpwstr>http://www.zotero.org/styles/neuron</vt:lpwstr>
  </property>
</Properties>
</file>