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48"/>
          <w:szCs w:val="48"/>
        </w:rPr>
        <w:t xml:space="preserve">肺結節良／惡性分類</w:t>
      </w:r>
    </w:p>
    <w:p>
      <w:pPr>
        <w:spacing w:after="480"/>
        <w:jc w:val="center"/>
      </w:pPr>
      <w:r>
        <w:rPr>
          <w:color w:val="2E75B6"/>
          <w:sz w:val="30"/>
          <w:szCs w:val="30"/>
        </w:rPr>
        <w:t xml:space="preserve">以 Vision Transformer + LoRA 微調 NoduleMNIST3D</w:t>
      </w:r>
    </w:p>
    <w:p>
      <w:pPr>
        <w:spacing w:after="60"/>
        <w:jc w:val="center"/>
      </w:pPr>
      <w:r>
        <w:rPr>
          <w:sz w:val="24"/>
          <w:szCs w:val="24"/>
        </w:rPr>
        <w:t xml:space="preserve">深度學習實作報告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資料集:NoduleMNIST3D (MedMNIST v2)  ·  模型:ViT-base  ·  微調:PEFT LoRA</w:t>
      </w:r>
    </w:p>
    <w:p>
      <w:pPr>
        <w:spacing w:after="1000"/>
        <w:jc w:val="center"/>
      </w:pPr>
      <w:r>
        <w:rPr>
          <w:color w:val="555555"/>
          <w:sz w:val="20"/>
          <w:szCs w:val="20"/>
        </w:rPr>
        <w:t xml:space="preserve">日期:2026 / 06 / 21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研究主題與動機</w:t>
      </w:r>
    </w:p>
    <w:p>
      <w:pPr>
        <w:spacing w:after="120" w:line="300"/>
      </w:pPr>
      <w:r>
        <w:t xml:space="preserve">肺結節（pulmonary nodule）是肺癌早期篩檢的重要徵象。臨床上需依據電腦斷層（CT）影像判斷結節為良性或惡性，但人工判讀耗時且高度依賴經驗。本報告以深度學習方法，建立一個自動分類肺結節良／惡性的模型，作為輔助診斷的概念驗證。</w:t>
      </w:r>
    </w:p>
    <w:p>
      <w:pPr>
        <w:spacing w:after="120" w:line="300"/>
      </w:pPr>
      <w:r>
        <w:t xml:space="preserve">考量運算資源與作業規模，本研究選用小型公開資料庫 NoduleMNIST3D（約 1,600 筆樣本），並採用「預訓練模型 + 參數高效微調（PEFT）」的策略，使整個訓練流程能在一般筆電的 GPU（Apple Silicon MPS）上於數分鐘內完成。</w:t>
      </w:r>
    </w:p>
    <w:p>
      <w:pPr>
        <w:pStyle w:val="Heading1"/>
      </w:pPr>
      <w:r>
        <w:t xml:space="preserve">2. 資料集介紹:NoduleMNIST3D</w:t>
      </w:r>
    </w:p>
    <w:p>
      <w:pPr>
        <w:spacing w:after="120" w:line="300"/>
      </w:pPr>
      <w:r>
        <w:t xml:space="preserve">NoduleMNIST3D 為 MedMNIST v2 標準化醫學影像資料集之一，源自 LIDC-IDRI 肺部 CT 公開資料庫，將結節整理成統一的 28×28×28 三維體積（voxel）。任務為二分類:良性（benign）與惡性（malignant）。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資料分割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樣本數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訓練 (train)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1,158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用於模型訓練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驗證 (val)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165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用於監控過擬合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測試 (test)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最終評估（benign 246 / malignant 64）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00"/>
      </w:pPr>
      <w:r>
        <w:t xml:space="preserve">資料特性:影像為單通道灰階、值域 0–255、尺寸 28³（MNIST-like 最小版本）。測試集中良性樣本約為惡性的 4 倍，屬於典型的「類別不平衡」資料，這在後續方法與結果中都需特別處理。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5238750"/>
            <wp:effectExtent t="0" r="0" b="0" l="0"/>
            <wp:docPr id="1" name="圖 1. NoduleMNIST3D 測試樣本（每列為一結節的三正交切片;上 3 列良性、下 3 列惡性）" descr="圖 1. NoduleMNIST3D 測試樣本（每列為一結節的三正交切片;上 3 列良性、下 3 列惡性）" title="圖 1. NoduleMNIST3D 測試樣本（每列為一結節的三正交切片;上 3 列良性、下 3 列惡性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圖 1. NoduleMNIST3D 測試樣本（每列為一結節的三正交切片;上 3 列良性、下 3 列惡性）</w:t>
      </w:r>
    </w:p>
    <w:p>
      <w:pPr>
        <w:pStyle w:val="Heading1"/>
      </w:pPr>
      <w:r>
        <w:t xml:space="preserve">3. 方法</w:t>
      </w:r>
    </w:p>
    <w:p>
      <w:pPr>
        <w:pStyle w:val="Heading2"/>
      </w:pPr>
      <w:r>
        <w:t xml:space="preserve">3.1 3D → 2D 前處理（三正交切片）</w:t>
      </w:r>
    </w:p>
    <w:p>
      <w:pPr>
        <w:spacing w:after="120" w:line="300"/>
      </w:pPr>
      <w:r>
        <w:t xml:space="preserve">Vision Transformer 是針對 2D 影像設計的模型，而資料為 3D 體積。為了能直接利用 2D 影像的大規模預訓練權重，本研究將每個體積取三個正交方向的中心切片: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Axial（軸狀面）— 沿深度軸的中央切片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Coronal（冠狀面）— 沿高度軸的中央切片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Sagittal（矢狀面）— 沿寬度軸的中央切片</w:t>
      </w:r>
    </w:p>
    <w:p>
      <w:pPr>
        <w:spacing w:after="120" w:line="300"/>
      </w:pPr>
      <w:r>
        <w:t xml:space="preserve">三張灰階切片分別作為 R、G、B 三個通道，組成一張 RGB 影像，再以雙線性內插放大到 224×224，並以 mean=0.5、std=0.5 正規化。此設計兼顧兩點:可沿用 ImageNet 預訓練權重，同時保留 3D 結構的多視角資訊。</w:t>
      </w:r>
    </w:p>
    <w:p>
      <w:pPr>
        <w:pStyle w:val="Heading2"/>
      </w:pPr>
      <w:r>
        <w:t xml:space="preserve">3.2 模型架構:Vision Transformer</w:t>
      </w:r>
    </w:p>
    <w:p>
      <w:pPr>
        <w:spacing w:after="120" w:line="300"/>
      </w:pPr>
      <w:r>
        <w:t xml:space="preserve">採用 HuggingFace 的 google/vit-base-patch16-224-in21k（ViT-base，於 ImageNet-21k 預訓練）。模型將 224×224 影像切成 16×16 的 patch，經線性投影後加上位置編碼，送入 12 層 Transformer Encoder，最後以 [CLS] token 接一個全新初始化的 2 類分類頭。</w:t>
      </w:r>
    </w:p>
    <w:p>
      <w:pPr>
        <w:pStyle w:val="Heading2"/>
      </w:pPr>
      <w:r>
        <w:t xml:space="preserve">3.3 參數高效微調:PEFT LoRA</w:t>
      </w:r>
    </w:p>
    <w:p>
      <w:pPr>
        <w:spacing w:after="120" w:line="300"/>
      </w:pPr>
      <w:r>
        <w:t xml:space="preserve">LoRA（Low-Rank Adaptation）在凍結原始權重的前提下，於注意力層的 query、value 線性層注入低秩矩陣（rank=8, alpha=16）做為可訓練的旁路；分類頭因為是新初始化，故設為完整可訓練。如此只需更新極少量參數，即可將大型預訓練模型調適到新任務。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數值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佔比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可訓練參數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296,450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0.34%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模型總參數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86,096,644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</w:tbl>
    <w:p>
      <w:pPr>
        <w:pStyle w:val="Heading1"/>
      </w:pPr>
      <w:r>
        <w:t xml:space="preserve">4. 實驗設定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超參數 / 環境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設定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運算裝置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Apple Silicon GPU（PyTorch MPS 後端）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優化器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AdamW（lr=5e-4, weight_decay=1e-4）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損失函數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CrossEntropy + class weight（處理不平衡）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Batch size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訓練輪數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 epochs（每 epoch 約 50 秒，總計約 7 分鐘）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資料擴增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隨機水平／垂直翻轉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LoRA 設定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r=8, alpha=16, dropout=0.1, target=query/value</w:t>
            </w:r>
          </w:p>
        </w:tc>
      </w:tr>
    </w:tbl>
    <w:p>
      <w:pPr>
        <w:pStyle w:val="Heading1"/>
      </w:pPr>
      <w:r>
        <w:t xml:space="preserve">5. 實驗結果</w:t>
      </w:r>
    </w:p>
    <w:p>
      <w:pPr>
        <w:spacing w:after="120" w:line="300"/>
      </w:pPr>
      <w:r>
        <w:t xml:space="preserve">模型在測試集上達到 Accuracy 0.858、AUC 0.922。各項指標如下表: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指標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數值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備註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0.8581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整體正確率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0.9223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ROC 曲線下面積（鑑別力）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benign  precision / recall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0.92 / 0.90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良性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malignant precision / recall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0.64 / 0.70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惡性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圖 2. 訓練過程:train loss 持續下降、val accuracy 大致穩定" descr="圖 2. 訓練過程:train loss 持續下降、val accuracy 大致穩定" title="圖 2. 訓練過程:train loss 持續下降、val accuracy 大致穩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圖 2. 訓練過程:train loss 持續下降、val accuracy 大致穩定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3105150"/>
            <wp:effectExtent t="0" r="0" b="0" l="0"/>
            <wp:docPr id="1" name="圖 3. 測試集混淆矩陣（良性 221 正確、惡性 45 正確）" descr="圖 3. 測試集混淆矩陣（良性 221 正確、惡性 45 正確）" title="圖 3. 測試集混淆矩陣（良性 221 正確、惡性 45 正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圖 3. 測試集混淆矩陣（良性 221 正確、惡性 45 正確）</w:t>
      </w:r>
    </w:p>
    <w:p>
      <w:pPr>
        <w:spacing w:after="120" w:line="300"/>
      </w:pPr>
      <w:r>
        <w:t xml:space="preserve">下圖為模型在測試樣本上的實際預測。模型對良性與明顯惡性結節判斷準確且高信心;主要失誤集中在較小、較不明顯的惡性結節，與惡性 recall 0.70 的量化結果一致。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圖 4. 預測示範:上排良性、下排惡性（綠=答對、紅=答錯，括號為信心值）" descr="圖 4. 預測示範:上排良性、下排惡性（綠=答對、紅=答錯，括號為信心值）" title="圖 4. 預測示範:上排良性、下排惡性（綠=答對、紅=答錯，括號為信心值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圖 4. 預測示範:上排良性、下排惡性（綠=答對、紅=答錯，括號為信心值）</w:t>
      </w:r>
    </w:p>
    <w:p>
      <w:pPr>
        <w:pStyle w:val="Heading1"/>
      </w:pPr>
      <w:r>
        <w:t xml:space="preserve">6. 討論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效率:LoRA 僅訓練 0.34% 的參數即達到 AUC 0.92，顯示參數高效微調在小型醫學影像任務上的明顯優勢——大幅降低記憶體與運算需求，使一般筆電 GPU 即可訓練。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收斂:train loss 從 0.60 穩定下降至 0.15，而 val accuracy 在第 1 個 epoch 後僅小幅震盪，顯示模型很快收斂；再增加輪數容易過擬合，故 8 epochs 為本設定的合適選擇。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類別不平衡:測試集惡性樣本僅佔約 21%。雖已加入 class weight 將惡性 recall 提升至 0.70，但惡性 precision（0.64）仍偏低，是此資料的主要瓶頸。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臨床意涵:在篩檢場景中，漏掉惡性（false negative）代價最高，因此惡性 recall 是關鍵指標；本模型 19 例惡性被誤判為良性，仍有改善空間。</w:t>
      </w:r>
    </w:p>
    <w:p>
      <w:pPr>
        <w:pStyle w:val="Heading1"/>
      </w:pPr>
      <w:r>
        <w:t xml:space="preserve">7. 結論與未來方向</w:t>
      </w:r>
    </w:p>
    <w:p>
      <w:pPr>
        <w:spacing w:after="120" w:line="300"/>
      </w:pPr>
      <w:r>
        <w:t xml:space="preserve">本研究成功以「三正交切片 + 預訓練 ViT + LoRA 微調」的流程，在小型 3D 醫學影像資料 NoduleMNIST3D 上完成肺結節良／惡性自動分類，於測試集達到 Accuracy 0.858、AUC 0.922，且整體訓練可在筆電 GPU 上數分鐘內完成。</w:t>
      </w:r>
    </w:p>
    <w:p>
      <w:pPr>
        <w:spacing w:after="120" w:line="300"/>
      </w:pPr>
      <w:r>
        <w:t xml:space="preserve">未來可朝以下方向延伸: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使用更高解析度版本（size=64 或 128）以保留更多細節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採用多切片或真正的 3D ViT 以完整利用體積資訊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以 Focal Loss 或過採樣進一步改善惡性類別的偵測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套用至其他 MedMNIST 3D 資料集（如 OrganMNIST3D）驗證泛用性</w:t>
      </w:r>
    </w:p>
    <w:p>
      <w:pPr>
        <w:pStyle w:val="Heading1"/>
      </w:pPr>
      <w:r>
        <w:t xml:space="preserve">附錄:實作與資源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程式碼:NoduleMNIST3D_ViT_LoRA.ipynb（可於本機 MPS 或 Colab GPU 執行）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資料集:MedMNIST v2 — https://medmnist.com/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預訓練模型:google/vit-base-patch16-224-in21k（HuggingFace）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套件:PyTorch、transformers、peft、medmnist、scikit-learn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3d313dc0a26a5157d1f05f949360898b499dd7.png"/><Relationship Id="rId9" Type="http://schemas.openxmlformats.org/officeDocument/2006/relationships/image" Target="media/70050a6c73be9994080b091eaea1852f4befb635.png"/><Relationship Id="rId10" Type="http://schemas.openxmlformats.org/officeDocument/2006/relationships/image" Target="media/a18a70997a52d1421f93e8beb87669285199c35b.png"/><Relationship Id="rId11" Type="http://schemas.openxmlformats.org/officeDocument/2006/relationships/image" Target="media/5aa2ebb473967f15573f7428eaef166a3edd152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2026-06-21T13:56:13.517Z</dcterms:created>
  <dcterms:modified xsi:type="dcterms:W3CDTF">2026-06-21T13:56:13.518Z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