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Aggregation-Rule Differences in Flow-Based Network Intrusion Detection: A Leakage-Controlled Study of Conditional Ensemble Weighting</w:t>
      </w:r>
    </w:p>
    <w:p>
      <w:pPr>
        <w:pStyle w:val="Heading1"/>
      </w:pPr>
      <w:r>
        <w:t>Abstract</w:t>
      </w:r>
    </w:p>
    <w:p>
      <w:r>
        <w:t>Reported performance differences between machine-learning intrusion-detection models are highly sensitive to duplicate flows, conflicting labels, feature-selection leakage and class priors. We test a widely adopted but rarely validated assumption: that fusing several random-forest experts with sample-specific reliability weights is reliably better than equal voting. Under a single leakage-controlled protocol we construct two explicit populations from CIC-IDS2017 - a 53,237-flow natural-prior population that retains observed class proportions and a 3,365-flow balanced control - and add NSL-KDD and UNSW-NB15 as independent native-label benchmarks, comparing full, chi-square, mutual-information and ANOVA feature views across conditional weighting (RCCF), equal-weight forests, extremely randomised trees, XGBoost and a multilayer perceptron over ten seeds, with a three-seed balanced control. Across ten seeds on the natural-prior protocol the two models differ by -0.00046 Macro-F1 with the per-seed sign split five to five; both the seed-level 90% interval [-0.00112, +0.00021] and the test-row paired bootstrap interval [-0.00425, +0.00338] lie inside equivalence margins of 0.005 and 0.01 Macro-F1. The four experts disagree on none of the test rows and the learned weights have a normalised entropy of 0.99998. By contrast, class prior changes Macro-F1 by +0.072, deduplication order by up to +0.0060, and file-level extrapolation moves the same model between 0.33 and 1.00 Macro-F1. Three identifiability conditions are derived and one of them is turned into a row-wise computable bound: 99.91% of the 23,958 test rows are provably invariant to the weighting, and the decision margin exceeds the perturbation bound by a median factor of 3,469 to 5,038. A search over all 108 gate hyper-parameter configurations yields only six distinct validation scores (range 0.00117), excluding insufficient tuning as an explanation. A reverse experiment shows that the gain is governed by expert diversity rather than by the implementation: two low-diversity expert sets gain exactly zero in six of six runs, whereas three deliberately decorrelated sets gain positively in nine of nine runs (slope 0.0646, Pearson r = 0.749). A neural baseline matches RCCF in accuracy (0.97679 versus 0.97792) while trailing by 0.092 Macro-F1, illustrating how strongly accuracy can mislead on imbalanced benchmarks. The conditional mechanism is 4.1 times larger and 4.6 times slower per row than a single equal-weight forest, and its cost-sensitive behaviour matches that forest across false-negative to false-positive cost ratios from 1 to 100. The contribution is a reusable leakage-controlled protocol, an identifiability boundary and a quantitative map that separates protocol effects from aggregation-rule effects; the evidence does not support claims of algorithmic superiority 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in the literature,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are deliberately complementary rather than interchangeable. They span three capture eras (a 1998 line of descent for NSL-KDD, a 2015 synthetic testbed for UNSW-NB15 and a 2017 enterprise-like testbed for CIC-IDS2017), three feature extractors (a 41-feature connection record set, a 49-feature Argus/Bro-derived set and a 78-feature CICFlowMeter set), and three label spaces (5, 10 and 5 retained classes). Their known defects also differ: NSL-KDD carries the redundancy of its KDD lineage, UNSW-NB15 contains largely synthetically generated attacks and cross-split feature overlap, and CIC-IDS2017 contains duplicate flows, cross-label conflicts and constant columns. A fourth dataset would add most value if it covered an environment none of the three represents - an IoT or operational-technology deployment, a different capture vantage point, or a temporally separated capture from the same testbed. The coverage matrix is reported in the supplementary material.</w:t>
      </w:r>
    </w:p>
    <w:p>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across the family of three comparisons against RCCF [37], reported as adjusted sign-flip p-values in Table 5;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chi-square,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are</w:t>
      </w:r>
    </w:p>
    <w:p>
      <w:pPr>
        <w:jc w:val="center"/>
      </w:pPr>
      <w:r>
        <w:rPr>
          <w:rFonts w:ascii="Cambria Math" w:hAnsi="Cambria Math"/>
          <w:sz w:val="22"/>
        </w:rPr>
        <w:t>w_e(x)=\frac{\exp[-r_e(x)]}{\sum_{j=1}^{Q}\exp[-r_j(x)]},\qquad p(y\mid x)=\sum_{e=1}^{Q} w_e(x)\,p_e(y\mid x).</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w:t>
      </w:r>
    </w:p>
    <w:p>
      <w:pPr>
        <w:jc w:val="center"/>
      </w:pPr>
      <w:r>
        <w:rPr>
          <w:rFonts w:ascii="Cambria Math" w:hAnsi="Cambria Math"/>
          <w:sz w:val="22"/>
        </w:rPr>
        <w:t>\left\|p_w-\bar p\right\|_1\ \le\ \sum_{e=1}^{Q}\left|w_e-\frac{1}{Q}\right|\ =:\ \Delta(x).</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invariance conclusion carries over to the reported predictions.</w:t>
      </w:r>
    </w:p>
    <w:p>
      <w:r>
        <w:rPr>
          <w:b/>
        </w:rPr>
        <w:t>Condition 3 (weight collapse, quantified).</w:t>
      </w:r>
      <w:r>
        <w:t xml:space="preserve"> Write r_e(x) = r_bar(x) + delta_e(x). Since log w_e = -r_e + const, we have Var(log w) = Var(delta). Expanding the normalised entropy around the uniform point gives, to second order,</w:t>
      </w:r>
    </w:p>
    <w:p>
      <w:pPr>
        <w:jc w:val="center"/>
      </w:pPr>
      <w:r>
        <w:rPr>
          <w:rFonts w:ascii="Cambria Math" w:hAnsi="Cambria Math"/>
          <w:sz w:val="22"/>
        </w:rPr>
        <w:t>1-H_{norm}(w)=\frac{Q}{2\log Q}\left\|w-\frac{1}{Q}\mathbf{1}\right\|_2^2,</w:t>
      </w:r>
    </w:p>
    <w:p>
      <w:r>
        <w:t>and a first-order expansion of the softmax gives the simpler relation</w:t>
      </w:r>
    </w:p>
    <w:p>
      <w:pPr>
        <w:jc w:val="center"/>
      </w:pPr>
      <w:r>
        <w:rPr>
          <w:rFonts w:ascii="Cambria Math" w:hAnsi="Cambria Math"/>
          <w:sz w:val="22"/>
        </w:rPr>
        <w:t>1-H_{norm}(w)\ \approx\ \frac{\mathrm{Var}(\delta)}{2\log Q}.</w:t>
      </w:r>
    </w:p>
    <w:p>
      <w:r>
        <w:t>Both are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observable is the normalised weight entropy</w:t>
      </w:r>
    </w:p>
    <w:p>
      <w:pPr>
        <w:jc w:val="center"/>
      </w:pPr>
      <w:r>
        <w:rPr>
          <w:rFonts w:ascii="Cambria Math" w:hAnsi="Cambria Math"/>
          <w:sz w:val="22"/>
        </w:rPr>
        <w:t>H_{norm}(x)=-\frac{1}{\log Q}\sum_{e=1}^{Q} w_e(x)\log w_e(x),</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on both populations (ten seeds for the natural-prior panel) and paired bootstrap intervals</w:t>
      </w:r>
    </w:p>
    <w:p>
      <w:r>
        <w:t>Note that the left panel of Figure 4 starts at 0.75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Comparison</w:t>
            </w:r>
          </w:p>
        </w:tc>
        <w:tc>
          <w:tcPr>
            <w:tcW w:type="dxa" w:w="890"/>
          </w:tcPr>
          <w:p>
            <w:pPr>
              <w:spacing w:after="0"/>
            </w:pPr>
            <w:r>
              <w:rPr>
                <w:sz w:val="16"/>
              </w:rPr>
            </w:r>
            <w:r>
              <w:rPr>
                <w:b/>
                <w:sz w:val="16"/>
              </w:rPr>
              <w:t>Mean difference</w:t>
            </w:r>
          </w:p>
        </w:tc>
        <w:tc>
          <w:tcPr>
            <w:tcW w:type="dxa" w:w="890"/>
          </w:tcPr>
          <w:p>
            <w:pPr>
              <w:spacing w:after="0"/>
            </w:pPr>
            <w:r>
              <w:rPr>
                <w:sz w:val="16"/>
              </w:rPr>
            </w:r>
            <w:r>
              <w:rPr>
                <w:b/>
                <w:sz w:val="16"/>
              </w:rPr>
              <w:t>SD</w:t>
            </w:r>
          </w:p>
        </w:tc>
        <w:tc>
          <w:tcPr>
            <w:tcW w:type="dxa" w:w="890"/>
          </w:tcPr>
          <w:p>
            <w:pPr>
              <w:spacing w:after="0"/>
            </w:pPr>
            <w:r>
              <w:rPr>
                <w:sz w:val="16"/>
              </w:rPr>
            </w:r>
            <w:r>
              <w:rPr>
                <w:b/>
                <w:sz w:val="16"/>
              </w:rPr>
              <w:t>Seed-level 95% interval</w:t>
            </w:r>
          </w:p>
        </w:tc>
        <w:tc>
          <w:tcPr>
            <w:tcW w:type="dxa" w:w="890"/>
          </w:tcPr>
          <w:p>
            <w:pPr>
              <w:spacing w:after="0"/>
            </w:pPr>
            <w:r>
              <w:rPr>
                <w:sz w:val="16"/>
              </w:rPr>
            </w:r>
            <w:r>
              <w:rPr>
                <w:b/>
                <w:sz w:val="16"/>
              </w:rPr>
              <w:t>Seed-level 90% interval</w:t>
            </w:r>
          </w:p>
        </w:tc>
        <w:tc>
          <w:tcPr>
            <w:tcW w:type="dxa" w:w="890"/>
          </w:tcPr>
          <w:p>
            <w:pPr>
              <w:spacing w:after="0"/>
            </w:pPr>
            <w:r>
              <w:rPr>
                <w:sz w:val="16"/>
              </w:rPr>
            </w:r>
            <w:r>
              <w:rPr>
                <w:b/>
                <w:sz w:val="16"/>
              </w:rPr>
              <w:t>TOST at 0.005</w:t>
            </w:r>
          </w:p>
        </w:tc>
        <w:tc>
          <w:tcPr>
            <w:tcW w:type="dxa" w:w="890"/>
          </w:tcPr>
          <w:p>
            <w:pPr>
              <w:spacing w:after="0"/>
            </w:pPr>
            <w:r>
              <w:rPr>
                <w:sz w:val="16"/>
              </w:rPr>
            </w:r>
            <w:r>
              <w:rPr>
                <w:b/>
                <w:sz w:val="16"/>
              </w:rPr>
              <w:t>TOST at 0.01</w:t>
            </w:r>
          </w:p>
        </w:tc>
        <w:tc>
          <w:tcPr>
            <w:tcW w:type="dxa" w:w="890"/>
          </w:tcPr>
          <w:p>
            <w:pPr>
              <w:spacing w:after="0"/>
            </w:pPr>
            <w:r>
              <w:rPr>
                <w:sz w:val="16"/>
              </w:rPr>
            </w:r>
            <w:r>
              <w:rPr>
                <w:b/>
                <w:sz w:val="16"/>
              </w:rPr>
              <w:t>Minimum detectable effect (80% power)</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Holm-adjusted sign-flip p</w:t>
            </w:r>
          </w:p>
        </w:tc>
        <w:tc>
          <w:tcPr>
            <w:tcW w:type="dxa" w:w="890"/>
          </w:tcPr>
          <w:p>
            <w:pPr>
              <w:spacing w:after="0"/>
            </w:pPr>
            <w:r>
              <w:rPr>
                <w:sz w:val="16"/>
              </w:rPr>
            </w:r>
            <w:r>
              <w:rPr>
                <w:b/>
                <w:sz w:val="16"/>
              </w:rPr>
              <w:t>Seeds favouring RCCF / baseline</w:t>
            </w:r>
          </w:p>
        </w:tc>
      </w:tr>
      <w:tr>
        <w:tc>
          <w:tcPr>
            <w:tcW w:type="dxa" w:w="890"/>
          </w:tcPr>
          <w:p>
            <w:pPr>
              <w:spacing w:after="0"/>
            </w:pPr>
            <w:r>
              <w:rPr>
                <w:sz w:val="16"/>
              </w:rPr>
            </w:r>
            <w:r>
              <w:rPr>
                <w:sz w:val="16"/>
              </w:rPr>
              <w:t>RCCF - equal RF (chi-square)</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equal RF (all features)</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ExtraTrees (chi-square)</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not equivalent</w:t>
            </w:r>
          </w:p>
        </w:tc>
        <w:tc>
          <w:tcPr>
            <w:tcW w:type="dxa" w:w="890"/>
          </w:tcPr>
          <w:p>
            <w:pPr>
              <w:spacing w:after="0"/>
            </w:pPr>
            <w:r>
              <w:rPr>
                <w:sz w:val="16"/>
              </w:rPr>
            </w:r>
            <w:r>
              <w:rPr>
                <w:sz w:val="16"/>
              </w:rPr>
              <w:t>not equivalent</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across three, five and ten folds), but the difference is noted for completeness.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pPr>
        <w:pStyle w:val="Heading2"/>
      </w:pPr>
      <w:r>
        <w:t>5.4 RQ3: Protocol effects exceed aggregation-rule differences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*families*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and indicative only.</w:t>
      </w:r>
    </w:p>
    <w:p>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(0.06180 at ratio 100). The conditional gate therefore offers no cost-sensitive advantage either. Note that the operating point was selected on the test partition itself, so these normalised expected costs are optimistic lower bounds; selecting the threshold on the validation partition would raise all three curves by a similar amount without changing their ordering.</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That is larger than every aggregation-rule and tuning-budget difference observed here (at most 0.0078), though not larger than the model-family gaps of 0.0318 and 0.0916.</w:t>
      </w:r>
    </w:p>
    <w:p>
      <w:pPr>
        <w:pStyle w:val="ListNumber"/>
      </w:pPr>
      <w:r>
        <w:rPr>
          <w:b/>
        </w:rPr>
        <w:t>Protocol choice.</w:t>
      </w:r>
      <w:r>
        <w:t xml:space="preserve"> Changing the class prior from balanced to natural moves Macro-F1 by +0.0725,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cannot explain the reported differences; coarser resolutions are reported in the supplementary material.</w:t>
      </w:r>
    </w:p>
    <w:p>
      <w:r>
        <w:rPr>
          <w:b/>
        </w:rPr>
        <w:t>Three datasets were evaluated; a fourth was not.</w:t>
      </w:r>
      <w:r>
        <w:t xml:space="preserve"> The conclusions are conditional on CIC-IDS2017, NSL-KDD and UNSW-NB15. A genuinely new dataset would test whether the reported protocol sensitivity and the inertness of conditional weighting extend beyond these three sources.</w:t>
      </w:r>
    </w:p>
    <w:p>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aggregation-rule differences.</w:t>
      </w:r>
      <w:r>
        <w:t xml:space="preserve"> Within one experiment set, a change of class prior moves Macro-F1 by +0.0725 and a reversal of deduplication order by up to +0.0060, whereas the aggregation strategy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v1.10.0, tag v1.10.0).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all DOIs were verified against Crossref on 2026-09-16. Venues that do not assign Crossref DOIs (PMLR, NeurIPS, JMLR, USENIX) are marked as such rather than left pending.</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[no DOI; NeurIPS proceedings]</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[no DOI; 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[no DOI; USENIX Security proceedings]</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[no DOI; PMLR]</w:t>
      </w:r>
    </w:p>
    <w:p>
      <w:pPr>
        <w:pStyle w:val="ListNumber"/>
      </w:pPr>
      <w:r>
        <w:t>Ovadia Y, Fertig E, Ren J, et al. Can you trust your model's uncertainty? Evaluating predictive uncertainty under dataset shift. NeurIPS 2019: 13991-14002. [no DOI; NeurIPS proceedings]</w:t>
      </w:r>
    </w:p>
    <w:p>
      <w:pPr>
        <w:pStyle w:val="ListNumber"/>
      </w:pPr>
      <w:r>
        <w:t>Lakshminarayanan B, Pritzel A, Blundell C. Simple and scalable predictive uncertainty estimation using deep ensembles. NeurIPS 2017: 6402-6413. [no DOI; NeurIPS proceedings]</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[no DOI; 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[no DOI; JMLR]</w:t>
      </w:r>
    </w:p>
    <w:p>
      <w:pPr>
        <w:pStyle w:val="ListNumber"/>
      </w:pPr>
      <w:r>
        <w:t>Holm S. A simple sequentially rejective multiple test procedure. Scandinavian Journal of Statistics, 1979, 6(2): 65-70. [no DOI; JSTOR stable record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[no DOI; 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S01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S02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S03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S04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S05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S07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S08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S09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r>
        <w:tc>
          <w:tcPr>
            <w:tcW w:type="dxa" w:w="4896"/>
          </w:tcPr>
          <w:p>
            <w:pPr>
              <w:spacing w:after="0"/>
            </w:pPr>
            <w:r>
              <w:rPr>
                <w:sz w:val="16"/>
              </w:rPr>
            </w:r>
            <w:r>
              <w:rPr>
                <w:sz w:val="16"/>
              </w:rPr>
              <w:t>S21</w:t>
            </w:r>
          </w:p>
        </w:tc>
        <w:tc>
          <w:tcPr>
            <w:tcW w:type="dxa" w:w="4896"/>
          </w:tcPr>
          <w:p>
            <w:pPr>
              <w:spacing w:after="0"/>
            </w:pPr>
            <w:r>
              <w:rPr>
                <w:sz w:val="16"/>
              </w:rPr>
            </w:r>
            <w:r>
              <w:rPr>
                <w:sz w:val="16"/>
              </w:rPr>
              <w:t>Near-duplicate audit and sensitivity check</w:t>
            </w:r>
          </w:p>
        </w:tc>
      </w:tr>
      <w:tr>
        <w:tc>
          <w:tcPr>
            <w:tcW w:type="dxa" w:w="4896"/>
          </w:tcPr>
          <w:p>
            <w:pPr>
              <w:spacing w:after="0"/>
            </w:pPr>
            <w:r>
              <w:rPr>
                <w:sz w:val="16"/>
              </w:rPr>
            </w:r>
            <w:r>
              <w:rPr>
                <w:sz w:val="16"/>
              </w:rPr>
              <w:t>S22</w:t>
            </w:r>
          </w:p>
        </w:tc>
        <w:tc>
          <w:tcPr>
            <w:tcW w:type="dxa" w:w="4896"/>
          </w:tcPr>
          <w:p>
            <w:pPr>
              <w:spacing w:after="0"/>
            </w:pPr>
            <w:r>
              <w:rPr>
                <w:sz w:val="16"/>
              </w:rPr>
            </w:r>
            <w:r>
              <w:rPr>
                <w:sz w:val="16"/>
              </w:rPr>
              <w:t>Resource profile: model size, throughput and peak memory</w:t>
            </w:r>
          </w:p>
        </w:tc>
      </w:tr>
      <w:tr>
        <w:tc>
          <w:tcPr>
            <w:tcW w:type="dxa" w:w="4896"/>
          </w:tcPr>
          <w:p>
            <w:pPr>
              <w:spacing w:after="0"/>
            </w:pPr>
            <w:r>
              <w:rPr>
                <w:sz w:val="16"/>
              </w:rPr>
            </w:r>
            <w:r>
              <w:rPr>
                <w:sz w:val="16"/>
              </w:rPr>
              <w:t>S23</w:t>
            </w:r>
          </w:p>
        </w:tc>
        <w:tc>
          <w:tcPr>
            <w:tcW w:type="dxa" w:w="4896"/>
          </w:tcPr>
          <w:p>
            <w:pPr>
              <w:spacing w:after="0"/>
            </w:pPr>
            <w:r>
              <w:rPr>
                <w:sz w:val="16"/>
              </w:rPr>
            </w:r>
            <w:r>
              <w:rPr>
                <w:sz w:val="16"/>
              </w:rPr>
              <w:t>Cost-sensitive evaluation for false-negative to false-positive ratios 1 to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Reference DOI verification record</w:t>
            </w:r>
          </w:p>
        </w:tc>
      </w:tr>
      <w:tr>
        <w:tc>
          <w:tcPr>
            <w:tcW w:type="dxa" w:w="4896"/>
          </w:tcPr>
          <w:p>
            <w:pPr>
              <w:spacing w:after="0"/>
            </w:pPr>
            <w:r>
              <w:rPr>
                <w:sz w:val="16"/>
              </w:rPr>
            </w:r>
            <w:r>
              <w:rPr>
                <w:sz w:val="16"/>
              </w:rPr>
              <w:t>S25</w:t>
            </w:r>
          </w:p>
        </w:tc>
        <w:tc>
          <w:tcPr>
            <w:tcW w:type="dxa" w:w="4896"/>
          </w:tcPr>
          <w:p>
            <w:pPr>
              <w:spacing w:after="0"/>
            </w:pPr>
            <w:r>
              <w:rPr>
                <w:sz w:val="16"/>
              </w:rPr>
            </w:r>
            <w:r>
              <w:rPr>
                <w:sz w:val="16"/>
              </w:rPr>
              <w:t>Dataset coverage matrix and quantitative verification of Condition 3</w:t>
            </w:r>
          </w:p>
        </w:tc>
      </w:tr>
      <w:tr>
        <w:tc>
          <w:tcPr>
            <w:tcW w:type="dxa" w:w="4896"/>
          </w:tcPr>
          <w:p>
            <w:pPr>
              <w:spacing w:after="0"/>
            </w:pPr>
            <w:r>
              <w:rPr>
                <w:sz w:val="16"/>
              </w:rPr>
            </w:r>
            <w:r>
              <w:rPr>
                <w:sz w:val="16"/>
              </w:rPr>
              <w:t>S26</w:t>
            </w:r>
          </w:p>
        </w:tc>
        <w:tc>
          <w:tcPr>
            <w:tcW w:type="dxa" w:w="4896"/>
          </w:tcPr>
          <w:p>
            <w:pPr>
              <w:spacing w:after="0"/>
            </w:pPr>
            <w:r>
              <w:rPr>
                <w:sz w:val="16"/>
              </w:rPr>
            </w:r>
            <w:r>
              <w:rPr>
                <w:sz w:val="16"/>
              </w:rPr>
              <w:t>Extended robustness: label noise, missing values and calibration drift</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