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公式来源与核验</w:t>
      </w:r>
    </w:p>
    <w:p>
      <w:r>
        <w:t>&gt; 本文共五个编号公式。本表逐式说明它是</w:t>
      </w:r>
      <w:r>
        <w:rPr>
          <w:b/>
        </w:rPr>
        <w:t>定义</w:t>
      </w:r>
      <w:r>
        <w:t>、</w:t>
      </w:r>
      <w:r>
        <w:rPr>
          <w:b/>
        </w:rPr>
        <w:t>本文推导</w:t>
      </w:r>
      <w:r>
        <w:t>还是</w:t>
      </w:r>
      <w:r>
        <w:rPr>
          <w:b/>
        </w:rPr>
        <w:t>展开近似</w:t>
      </w:r>
      <w:r>
        <w:t>，依据在哪、误差多大，并用已发布产物重新核验公式旁的数字。核验不通过时构建会失败。</w:t>
      </w:r>
    </w:p>
    <w:p>
      <w:pPr>
        <w:pStyle w:val="Heading1"/>
      </w:pPr>
      <w:r>
        <w:t>一、一览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式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类型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依据 / 来源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正文位置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(1)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条件权重 w_e ∝ exp(−r_e) 与凸组合融合 p = Σ w_e p_e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本文机制规格</w:t>
            </w:r>
            <w:r>
              <w:rPr>
                <w:sz w:val="16"/>
              </w:rPr>
              <w:t>（定义）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加权平均融合的标准形式见 Kuncheva [9]；该族在文献中的多种实现见 §2；融合后的温度缩放 [29]、Mondrian 共形 [32–35]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§4.2 Step 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(2)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‖p_w − p̄‖₁ ≤ Σ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w_e − 1/Q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=: Δ(x)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本文推导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三角不等式 + 每个专家后验在单纯形上（‖p_e‖₁ = 1）；证明见 §4.3 Condition 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§4.3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(3)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1 − H_norm = (Q / 2log Q)·‖w − (1/Q)1‖²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本文推导（二阶展开）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在均匀点对归一化熵作二阶 Taylor 展开；误差在正文中量化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§4.3 Condition 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(4)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1 − H_norm ≈ Var(δ) / (2log Q)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本文推导（一阶展开）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softmax 的一阶线性化，δ 为风险偏移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§4.3 Condition 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(5)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H_norm(x) = −(1/log Q) Σ w_e log w_e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标准定义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归一化 Shannon 熵，集成多样性文献中的常规度量（Kuncheva [9]）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二、式 (1)：机制规格，不是新定理</w:t>
      </w:r>
    </w:p>
    <w:p>
      <w:r>
        <w:t>条件加权的权重由 softmax 负风险给出、融合为凸组合——这是</w:t>
      </w:r>
      <w:r>
        <w:rPr>
          <w:b/>
        </w:rPr>
        <w:t>本文对机制的规格说明</w:t>
      </w:r>
      <w:r>
        <w:t>，与 Breiman 的概率平均 [1,2] 属同一族（把等权 1/Q 换成样本相关权重），§2 已列出该族在文献中的实现方式（验证集精度加权、袋外误差加权、元学习器预测权重、校准后的置信度加权等）。因此式 (1) 不主张数学新颖性，它的新颖性在于</w:t>
      </w:r>
      <w:r>
        <w:rPr>
          <w:b/>
        </w:rPr>
        <w:t>被检验</w:t>
      </w:r>
      <w:r>
        <w:t>：本文用十个种子、三档总体检验它是否优于等权。</w:t>
      </w:r>
    </w:p>
    <w:p>
      <w:pPr>
        <w:pStyle w:val="Heading1"/>
      </w:pPr>
      <w:r>
        <w:t>三、式 (2)：本文推导的上界</w:t>
      </w:r>
    </w:p>
    <w:p>
      <w:r>
        <w:t>对任意权重向量，融合后验相对等权融合的 L1 移动不超过权重与均匀分布的 L1 距离。逐行核验（</w:t>
      </w:r>
      <w:r>
        <w:rPr>
          <w:rFonts w:ascii="Consolas" w:hAnsi="Consolas"/>
        </w:rPr>
        <w:t>results_margin_bound_v5/</w:t>
      </w:r>
      <w:r>
        <w:t>）：</w:t>
      </w:r>
      <w:r>
        <w:rPr>
          <w:b/>
        </w:rPr>
        <w:t>99.91%</w:t>
      </w:r>
      <w:r>
        <w:t xml:space="preserve"> 的测试行满足 2Δ(x) &lt; 边距从而标签必然不变，实际改判 0 行；边距与上界之比的中位数为 3469 至 5038（逐种子）。</w:t>
      </w:r>
    </w:p>
    <w:p>
      <w:pPr>
        <w:pStyle w:val="Heading1"/>
      </w:pPr>
      <w:r>
        <w:t>四、式 (3) 与 (4)：展开近似，误差已量化</w:t>
      </w:r>
    </w:p>
    <w:p>
      <w:r>
        <w:t xml:space="preserve">两者都是近似：式 (3) 保留二阶项，式 (4) 进一步线性化 softmax。在 7 986 条自然先验测试行上（逐行文件 </w:t>
      </w:r>
      <w:r>
        <w:rPr>
          <w:rFonts w:ascii="Consolas" w:hAnsi="Consolas"/>
        </w:rPr>
        <w:t>proposition3_quantification.csv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量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相对误差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观测的平均熵亏缺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3.237e-05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二阶展开预测（式 3）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3.187e-05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1.5%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一阶展开预测（式 4）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3.365e-05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4.0%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四专家风险偏移的中位标准差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0.00022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r>
        <w:t>也就是说：公式本身是近似，而正文给出的误差（1.5% 与 4.0%）与逐行文件一致。</w:t>
      </w:r>
    </w:p>
    <w:p>
      <w:pPr>
        <w:pStyle w:val="Heading1"/>
      </w:pPr>
      <w:r>
        <w:t>五、式 (5)：标准定义</w:t>
      </w:r>
    </w:p>
    <w:p>
      <w:r>
        <w:t xml:space="preserve">归一化权重熵是集成多样性研究里的常规度量，取 Q = 4 个专家时上界为 1。实测权重熵 </w:t>
      </w:r>
      <w:r>
        <w:rPr>
          <w:b/>
        </w:rPr>
        <w:t>0.99998</w:t>
      </w:r>
      <w:r>
        <w:t>，概率 L1 平均变化 0.000299（最大 0.003473），与实际改判 0 行一致。</w:t>
      </w:r>
    </w:p>
    <w:p>
      <w:pPr>
        <w:pStyle w:val="Heading1"/>
      </w:pPr>
      <w:r>
        <w:t>六、核验方式</w:t>
      </w:r>
    </w:p>
    <w:p>
      <w:pPr>
        <w:pStyle w:val="ListBullet"/>
      </w:pPr>
      <w:r>
        <w:t>式 (2)：</w:t>
      </w:r>
      <w:r>
        <w:rPr>
          <w:rFonts w:ascii="Consolas" w:hAnsi="Consolas"/>
        </w:rPr>
        <w:t>results_margin_bound_v5/margin_bound_summary.csv|json</w:t>
      </w:r>
      <w:r>
        <w:t>（逐种子可证比例、边距比）+ 逐行文件三个 seed；</w:t>
      </w:r>
    </w:p>
    <w:p>
      <w:pPr>
        <w:pStyle w:val="ListBullet"/>
      </w:pPr>
      <w:r>
        <w:t>式 (3)(4)：</w:t>
      </w:r>
      <w:r>
        <w:rPr>
          <w:rFonts w:ascii="Consolas" w:hAnsi="Consolas"/>
        </w:rPr>
        <w:t>results_margin_bound_v5/proposition3_quantification.csv|json</w:t>
      </w:r>
      <w:r>
        <w:t>（7,986 行逐样本熵亏缺、预测值与风险偏移标准差）；</w:t>
      </w:r>
    </w:p>
    <w:p>
      <w:pPr>
        <w:pStyle w:val="ListBullet"/>
      </w:pPr>
      <w:r>
        <w:t>式 (5) 与式 (1)：</w:t>
      </w:r>
      <w:r>
        <w:rPr>
          <w:rFonts w:ascii="Consolas" w:hAnsi="Consolas"/>
        </w:rPr>
        <w:t>results_weight_mechanism_v3/</w:t>
      </w:r>
      <w:r>
        <w:t>（权重熵与逐样本预测对比）；</w:t>
      </w:r>
    </w:p>
    <w:p>
      <w:pPr>
        <w:pStyle w:val="ListBullet"/>
      </w:pPr>
      <w:r>
        <w:t xml:space="preserve">本表由 </w:t>
      </w:r>
      <w:r>
        <w:rPr>
          <w:rFonts w:ascii="Consolas" w:hAnsi="Consolas"/>
        </w:rPr>
        <w:t>scripts/build_equation_sources_doc_v1.py</w:t>
      </w:r>
      <w:r>
        <w:t xml:space="preserve"> 生成，其中四处印刷数字（3.24 / 3.19 / 3.36 ×10⁻⁵ 与 0.00022）会与产物逐一比对，不一致即构建失败。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