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工作日志：泄漏受控网络入侵检测论文项目</w:t>
      </w:r>
    </w:p>
    <w:p>
      <w:r>
        <w:rPr>
          <w:b/>
        </w:rPr>
        <w:t>生成时间</w:t>
      </w:r>
      <w:r>
        <w:t xml:space="preserve">：2026-10-06 14:23（由 </w:t>
      </w:r>
      <w:r>
        <w:rPr>
          <w:rFonts w:ascii="Consolas" w:hAnsi="Consolas"/>
        </w:rPr>
        <w:t>scripts/build_work_log_v1.py</w:t>
      </w:r>
      <w:r>
        <w:t xml:space="preserve"> 自动生成）</w:t>
      </w:r>
    </w:p>
    <w:p>
      <w:r>
        <w:rPr>
          <w:b/>
        </w:rPr>
        <w:t>发布版本</w:t>
      </w:r>
      <w:r>
        <w:t>：v1.11.0（仓库 main 与标签同步）</w:t>
      </w:r>
    </w:p>
    <w:p>
      <w:r>
        <w:rPr>
          <w:b/>
        </w:rPr>
        <w:t>仓库</w:t>
      </w:r>
      <w:r>
        <w:t>：https://github.com/linran-muxue/leakage-controlled-nids-study</w:t>
      </w:r>
    </w:p>
    <w:p>
      <w:pPr>
        <w:pStyle w:val="Heading1"/>
      </w:pPr>
      <w:r>
        <w:t>一、当前状态概览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维度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现状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正文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 16,824 词 / 中文 45,708 字符；12 图、8 表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摘要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英文 295 词（JISA 上限 250）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验证闸门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 项检查全绿（</w:t>
            </w:r>
            <w:r>
              <w:rPr>
                <w:rFonts w:ascii="Consolas" w:hAnsi="Consolas"/>
                <w:sz w:val="16"/>
              </w:rPr>
              <w:t>scripts/verify_all_v8.py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单元测试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138 项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自查表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 项：65 通过 / 4 部分通过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补充材料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S01–S30，30 条目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主实验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全语料 2 429 503 条、十种子；平均配对差 -0.005533（TOST：0.005 不等价 / 0.01 等价）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投稿压缩包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论文投稿包_v1.11.0.zip</w:t>
            </w:r>
            <w:r>
              <w:rPr>
                <w:sz w:val="16"/>
              </w:rPr>
              <w:t>，918 个条目</w:t>
            </w:r>
          </w:p>
        </w:tc>
      </w:tr>
    </w:tbl>
    <w:p>
      <w:pPr>
        <w:spacing w:after="40"/>
      </w:pPr>
    </w:p>
    <w:p>
      <w:pPr>
        <w:pStyle w:val="Heading1"/>
      </w:pPr>
      <w:r>
        <w:t>二、轮次台账</w:t>
      </w:r>
    </w:p>
    <w:p>
      <w:pPr>
        <w:pStyle w:val="Heading2"/>
      </w:pPr>
      <w:r>
        <w:t>2.1 审查报告记录的轮次（标题原样摘录，第一轮见报告开篇）</w:t>
      </w:r>
    </w:p>
    <w:p>
      <w:pPr>
        <w:pStyle w:val="ListBullet"/>
      </w:pPr>
      <w:r>
        <w:t>H. 第二轮审查（2026-09-16 续）</w:t>
      </w:r>
    </w:p>
    <w:p>
      <w:pPr>
        <w:pStyle w:val="ListBullet"/>
      </w:pPr>
      <w:r>
        <w:t>第二轮通过项（不作为问题）</w:t>
      </w:r>
    </w:p>
    <w:p>
      <w:pPr>
        <w:pStyle w:val="ListBullet"/>
      </w:pPr>
      <w:r>
        <w:t>I. 第三轮审查（选择性报告与版本卫生）</w:t>
      </w:r>
    </w:p>
    <w:p>
      <w:pPr>
        <w:pStyle w:val="ListBullet"/>
      </w:pPr>
      <w:r>
        <w:t>第三轮累计</w:t>
      </w:r>
    </w:p>
    <w:p>
      <w:pPr>
        <w:pStyle w:val="ListBullet"/>
      </w:pPr>
      <w:r>
        <w:t>J. 第四轮审查（数字溯源，全部通过）</w:t>
      </w:r>
    </w:p>
    <w:p>
      <w:pPr>
        <w:pStyle w:val="ListBullet"/>
      </w:pPr>
      <w:r>
        <w:t>M. 第五至七轮审查（内容层，2026-09-16/17）</w:t>
      </w:r>
    </w:p>
    <w:p>
      <w:pPr>
        <w:pStyle w:val="ListBullet"/>
      </w:pPr>
      <w:r>
        <w:t>第五轮（对应 v1.4.0）：主张与数据是否匹配</w:t>
      </w:r>
    </w:p>
    <w:p>
      <w:pPr>
        <w:pStyle w:val="ListBullet"/>
      </w:pPr>
      <w:r>
        <w:t>第六轮（对应 v1.5.0/1.5.1）：内容缺口的实质性补充</w:t>
      </w:r>
    </w:p>
    <w:p>
      <w:pPr>
        <w:pStyle w:val="ListBullet"/>
      </w:pPr>
      <w:r>
        <w:t>第七轮（对应 v1.7.0）：跨文档一致性</w:t>
      </w:r>
    </w:p>
    <w:p>
      <w:pPr>
        <w:pStyle w:val="ListBullet"/>
      </w:pPr>
      <w:r>
        <w:t>N. 第八轮审查（2026-09-17）：验证闸门与自检</w:t>
      </w:r>
    </w:p>
    <w:p>
      <w:pPr>
        <w:pStyle w:val="ListBullet"/>
      </w:pPr>
      <w:r>
        <w:t>O. 第九轮审查（2026-09-17）：全篇通读复核</w:t>
      </w:r>
    </w:p>
    <w:p>
      <w:pPr>
        <w:pStyle w:val="ListBullet"/>
      </w:pPr>
      <w:r>
        <w:t>P. 第十轮审查（2026-09-17）：中英逐段对齐</w:t>
      </w:r>
    </w:p>
    <w:p>
      <w:pPr>
        <w:pStyle w:val="ListBullet"/>
      </w:pPr>
      <w:r>
        <w:t>Q. 第十一轮审查（2026-09-17）：辅助文档与产物的对账</w:t>
      </w:r>
    </w:p>
    <w:p>
      <w:pPr>
        <w:pStyle w:val="ListBullet"/>
      </w:pPr>
      <w:r>
        <w:t>R. 第十二轮审查（2026-09-17）：期刊硬性要求与参考文献完整性</w:t>
      </w:r>
    </w:p>
    <w:p>
      <w:pPr>
        <w:pStyle w:val="ListBullet"/>
      </w:pPr>
      <w:r>
        <w:t>S. 第十三轮审查（2026-09-18）：把「稿子」与「稿子自己」对照</w:t>
      </w:r>
    </w:p>
    <w:p>
      <w:pPr>
        <w:pStyle w:val="ListBullet"/>
      </w:pPr>
      <w:r>
        <w:t>T. 第十四轮审查（2026-09-18）：逐字检查</w:t>
      </w:r>
    </w:p>
    <w:p>
      <w:pPr>
        <w:pStyle w:val="ListBullet"/>
      </w:pPr>
      <w:r>
        <w:t>U. 第十五轮审查（2026-09-18）：精修，以及第一次真正"看"交付文件</w:t>
      </w:r>
    </w:p>
    <w:p>
      <w:pPr>
        <w:pStyle w:val="ListBullet"/>
      </w:pPr>
      <w:r>
        <w:t>V. 第十六轮审查（2026-09-18）：把排版做掉——公式、表格、斜体</w:t>
      </w:r>
    </w:p>
    <w:p>
      <w:pPr>
        <w:pStyle w:val="ListBullet"/>
      </w:pPr>
      <w:r>
        <w:t>W. 第十七轮审查（2026-09-19）：图里的数字</w:t>
      </w:r>
    </w:p>
    <w:p>
      <w:pPr>
        <w:pStyle w:val="ListBullet"/>
      </w:pPr>
      <w:r>
        <w:t>X. 第十八轮审查（2026-09-19）：补规模、补领域——把"证据不够大"这条堵上</w:t>
      </w:r>
    </w:p>
    <w:p>
      <w:pPr>
        <w:pStyle w:val="ListBullet"/>
      </w:pPr>
      <w:r>
        <w:t>Y. 第十九轮审查（2026-09-21）：全语料验证——取消每类上限后的十种子配对：取消每类上限——把"最大总体仍是子集"这条也堵上</w:t>
      </w:r>
    </w:p>
    <w:p>
      <w:pPr>
        <w:pStyle w:val="ListBullet"/>
      </w:pPr>
      <w:r>
        <w:t>Z. 第二十轮审查（2026-10-06）：现代语料阶梯——规模、分布位移与机制</w:t>
      </w:r>
    </w:p>
    <w:p>
      <w:pPr>
        <w:pStyle w:val="Heading2"/>
      </w:pPr>
      <w:r>
        <w:t>2.2 仓库提交中的逐轮记录（116 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轮次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提交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日期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10-11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2969ba7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cross-language alignment and self-check consistency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62ff7fe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record the supporting-document reconciliation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7e8de56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keep the publication manifest in step with the release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c95d7e0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 the submission front matter and planning documents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85028c7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 the graphical abstract title and the public metadata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f2a123e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make the results-directory supplementary a verified mirror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29addc2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 the DOCX deliverables are rebuilt from the current Markdown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11g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a95293e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extend the DOCX freshness check to every deliverable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fa9cf42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JISA hard limits (abstract, equation numbering) and reference integrity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12b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edfb073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record the remaining formatting checklist in the self-check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12c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5e3e634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cite every supplementary item from the body text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d7145ed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intra-manuscript consistency (duplicates, precision, terminology)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31bb86c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cross-reference checks and isolation of retired evidence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513d328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character-level proofing sweep (out-of-fold terminology, widths, symbols)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785a467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prose polish plus Word-render verification of list numbering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0286c61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equations and tables typeset for submission (OMML, three-line tables)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4d018a6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 figure annotations and figure reproducibility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17b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0032f37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ship editable Word versions of the Highlights and cover letter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96e7016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7.8x scale experiment and a fourth (IoT) dataset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4df9937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deduplicated CIC-IDS2017 corpus (2,429,503 flows, ten seeds)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27d9f16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repair the full-corpus row count, cover-letter language and Chinese separators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fbba30f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integrate the full-corpus reversal into the abstract, contributions, discussion and limitations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b3df64a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 population construction as a fifth attribution factor and its guidance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1028af3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 the scale-ladder table and tie population size to RQ3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0a46202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cite S27-S29, qualify the Highlights and graphical abstract, make the supplementary check range-aware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fc7b012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replace the misattributed full-corpus deficit with its dilution mechanism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7b43e06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correct the full-corpus split counts and add the data and split audit to the gate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61b8183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 the dilution failure condition and member-level reporting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19j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d43b5e4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 the dilution expression on all three populations and guard against truncated aggregates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d41a546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recompute every released metric from the released predictions (320 values verified)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19l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f987789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record per-file SHA-256 for the eight CIC-IDS2017 CSVs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69aa7cf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gate the abstract against the body's numbers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ef0972b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trace the audit-chain numbers in Table 3, Figure 2 and the graphical abstract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151a412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recompute the McNemar comparison from the raw predictions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a4e028d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pin the seed scope of the neural-baseline row, its paragraph and Figure 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33978c6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stop same-named supplementary sources from overwriting each other (S27-S29 shipped three files fewer than the index)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dae3330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rebuild the S24 DOI record against the current 47-entry reference list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bd2b29f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unit-test the recent audit scripts and expose their detection logic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f654e0f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name the corpus behind the Section 5.1 feature counts and fix its protocol sentence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6c365ad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give the Chinese fig6/fig7 a builder and guard against unproduced figures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20j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a1ff497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untrack 46 unrelated files and bring README, MODEL_CARD and DATA_CARD back in line with the paper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19a1acb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explain and close the three-seed vs ten-seed baseline discrepancy (column order, not the tie)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00dee4b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re-sync the self-check table and gap report with the artifacts they quote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8e15481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 the review-counter updater used for the round log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3d7d5f1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report the gate's local-input prerequisites instead of failing with tracebacks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fafd6d4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extend number coverage to the external and scale paragraphs (38 more assertions)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0505473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replace the NSL-KDD calibration figure with the real ECE (0.209651)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dbaf033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make Table 6 match the released diversity suite at the printed precision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20q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bb83081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re-derive the Section 5.6 open-set ranges from the released suite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1c9d378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stop the English conclusion from stating one claim twice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9378567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Sections 6 and 7 — two numbers described the wrong artifact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d3a9e1e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give the open-set diagnostics their own supplementary item (S30)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20u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4db937f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recompute the counts the deliverables state about themselves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20v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67f6820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the cover letter claimed a 118-test suite; the suite collects 138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20w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68ec0c5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Table 4(b) printed three training times that no artefact contains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20x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90809af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self-check C1 cited an evidence file that does not exist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b180810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 the datasets behind the study (authenticity and completeness)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20z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0739058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submission-readiness pass (one author-input gap was undeclared)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e101c13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reorganise the submission package (main tables, submission text, verified archive)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94922c1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 the packaged tables against the manuscript and clean the export names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2cb02ef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generate the project work log from the records that track the work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35c8bfc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the work log ships as Word, with the per-round operating procedure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d6f90d4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second tidy-up pass — 31 leftover files moved out of the release tree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b61bc85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tidy-up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39ea3ef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standalone paper introduction, in Markdown and Word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6185786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introduction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af3eaa9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per-class data accuracy — 270 values recomputed from the predictions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1729f48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per-class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adc5409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supervisor briefing — talk script in three lengths plus the likely questions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ee0663a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briefing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845c823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eight-slide briefing deck with speaker notes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49d5cdb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deck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20aj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714b109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one consolidated record of every data source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20aj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776ee9b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data-source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8c003a5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the sources register now covers software, literature, requirements and archives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7498c71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sources-register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ea756c0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retire the superseded desktop copies of the sources document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74026eb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provenance and verification for each of the five equations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0ab655f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equation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f0b3708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data-processing code and flow, with figures and a run record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20am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5083007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pipeline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7d0ed6b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project flowchart, and the gate and archive counts it exposed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864213e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flowchart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61ebdc5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fuller briefing materials - intro dossier, 22-question script, 12-slide deck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20ao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e19365d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briefing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69d25dd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experiment record - 18 experiments with code, run logs and rendered evidence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134a876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experiment-record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20aq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a9379a3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experiment inventory - 145 result directories, 378 code files, 25 record panels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20aq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8cbbdf7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full-inventory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ef926f4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material completeness index - every project item mapped to the bundle or its reason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20ar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ae87a7b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material-index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197e990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data-products inventory - row counts and hashes for every local dataset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3f1ab4b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data-products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4ea9a13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structure pass - section roadmaps, H/RQ spine and a clearer conclusion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6850ad6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2026-09-28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structure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20au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d78383f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2026-09-30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same-members equal-weight control closes the H2 comparison gap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20au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36e95ab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2026-09-30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H2-control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20av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b1ef09e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diversity claim stated as association; every cost figure carries its source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20av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9199eac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wording-repair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20aw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a350620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three new experiments - gate capacity, feature-budget sweep, ten-seed balanced control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20aw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5dae840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new-experiments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20ax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592f077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measure expert disagreement - the never-disagree claim was wrong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20ax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766bd85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data-check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ac996f1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six extension experiments - member families, day holdout, 10-seed external benchmarks, deployment metrics, CIC-IDS2018 and CIC-IoT-2023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aa811b0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extension-experiment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20az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7cd1862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four recent corpora (2020-2023) - LITNET-2020, IoT-23, RT-IoT2022, ACI-IoT-2023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20az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365690e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 the work log and package for the recent-corpora round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c97aa80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three 2025 corpora (UAVIDS-2025, GeNIS, IDS2025); thirteen-corpus vintage and sources table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49ba650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record the 2025 candidate corpora and the Gotham fetch status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7b4c278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 every extension corpus on the standard ten seeds and re-render the quoted numbers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52fe01f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repair the extension-set counts (report header six-&gt;eight, Section 5.8 five-&gt;six, bundle README)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fd23efd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briefings and deck now state the thirteen corpora, the 2025 evidence and a recency Q&amp;A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6e2df1a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Gotham-2025 (packet-level, 18 classes) integrated - inert at the full budget, +0.0063 at 8/16 features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20bg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86022bd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three 2026 corpora (CTU-IDSEVAL-6, 6TiSCHSet-2026, RTN) - seventeen corpora span 1998-2026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20bh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7de4cdc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pooled modern-corpus replication - 12 corpora (2020-2026), 120 seed comparisons, +0.000007 [-0.000006, +0.000020]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Round 20bi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edfaf14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2026-10-06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modern-corpus ladder - B/C rungs, uncapped Gotham (7.19M test rows, +0.000009), source holdouts (Gotham 12/78 devices, 6TiSCH 12/122 runs), feature-budget sweep, mechanism suite; 53-check gate green</w:t>
            </w:r>
          </w:p>
        </w:tc>
      </w:tr>
    </w:tbl>
    <w:p>
      <w:pPr>
        <w:spacing w:after="40"/>
      </w:pPr>
    </w:p>
    <w:p>
      <w:pPr>
        <w:pStyle w:val="Heading1"/>
      </w:pPr>
      <w:r>
        <w:t>三、质量守卫（闸门 53 项）</w:t>
      </w:r>
    </w:p>
    <w:p>
      <w:pPr>
        <w:pStyle w:val="ListNumber"/>
        <w:numPr>
          <w:ilvl w:val="0"/>
          <w:numId w:val="10"/>
        </w:numPr>
      </w:pPr>
      <w:r>
        <w:t>unit tests</w:t>
      </w:r>
    </w:p>
    <w:p>
      <w:pPr>
        <w:pStyle w:val="ListNumber"/>
        <w:numPr>
          <w:ilvl w:val="0"/>
          <w:numId w:val="10"/>
        </w:numPr>
      </w:pPr>
      <w:r>
        <w:t>compile all sources</w:t>
      </w:r>
    </w:p>
    <w:p>
      <w:pPr>
        <w:pStyle w:val="ListNumber"/>
        <w:numPr>
          <w:ilvl w:val="0"/>
          <w:numId w:val="10"/>
        </w:numPr>
      </w:pPr>
      <w:r>
        <w:t>manuscript structure</w:t>
      </w:r>
    </w:p>
    <w:p>
      <w:pPr>
        <w:pStyle w:val="ListNumber"/>
        <w:numPr>
          <w:ilvl w:val="0"/>
          <w:numId w:val="10"/>
        </w:numPr>
      </w:pPr>
      <w:r>
        <w:t>citation coverage</w:t>
      </w:r>
    </w:p>
    <w:p>
      <w:pPr>
        <w:pStyle w:val="ListNumber"/>
        <w:numPr>
          <w:ilvl w:val="0"/>
          <w:numId w:val="10"/>
        </w:numPr>
      </w:pPr>
      <w:r>
        <w:t>number traceability</w:t>
      </w:r>
    </w:p>
    <w:p>
      <w:pPr>
        <w:pStyle w:val="ListNumber"/>
        <w:numPr>
          <w:ilvl w:val="0"/>
          <w:numId w:val="10"/>
        </w:numPr>
      </w:pPr>
      <w:r>
        <w:t>external and scale numbers</w:t>
      </w:r>
    </w:p>
    <w:p>
      <w:pPr>
        <w:pStyle w:val="ListNumber"/>
        <w:numPr>
          <w:ilvl w:val="0"/>
          <w:numId w:val="10"/>
        </w:numPr>
      </w:pPr>
      <w:r>
        <w:t>mechanism and Table 6 numbers</w:t>
      </w:r>
    </w:p>
    <w:p>
      <w:pPr>
        <w:pStyle w:val="ListNumber"/>
        <w:numPr>
          <w:ilvl w:val="0"/>
          <w:numId w:val="10"/>
        </w:numPr>
      </w:pPr>
      <w:r>
        <w:t>protocol and secondary numbers</w:t>
      </w:r>
    </w:p>
    <w:p>
      <w:pPr>
        <w:pStyle w:val="ListNumber"/>
        <w:numPr>
          <w:ilvl w:val="0"/>
          <w:numId w:val="10"/>
        </w:numPr>
      </w:pPr>
      <w:r>
        <w:t>full-corpus data audit</w:t>
      </w:r>
    </w:p>
    <w:p>
      <w:pPr>
        <w:pStyle w:val="ListNumber"/>
        <w:numPr>
          <w:ilvl w:val="0"/>
          <w:numId w:val="10"/>
        </w:numPr>
      </w:pPr>
      <w:r>
        <w:t>metrics aggregation</w:t>
      </w:r>
    </w:p>
    <w:p>
      <w:pPr>
        <w:pStyle w:val="ListNumber"/>
        <w:numPr>
          <w:ilvl w:val="0"/>
          <w:numId w:val="10"/>
        </w:numPr>
      </w:pPr>
      <w:r>
        <w:t>released evidence</w:t>
      </w:r>
    </w:p>
    <w:p>
      <w:pPr>
        <w:pStyle w:val="ListNumber"/>
        <w:numPr>
          <w:ilvl w:val="0"/>
          <w:numId w:val="10"/>
        </w:numPr>
      </w:pPr>
      <w:r>
        <w:t>per-class metrics</w:t>
      </w:r>
    </w:p>
    <w:p>
      <w:pPr>
        <w:pStyle w:val="ListNumber"/>
        <w:numPr>
          <w:ilvl w:val="0"/>
          <w:numId w:val="10"/>
        </w:numPr>
      </w:pPr>
      <w:r>
        <w:t>reference annotations</w:t>
      </w:r>
    </w:p>
    <w:p>
      <w:pPr>
        <w:pStyle w:val="ListNumber"/>
        <w:numPr>
          <w:ilvl w:val="0"/>
          <w:numId w:val="10"/>
        </w:numPr>
      </w:pPr>
      <w:r>
        <w:t>cross-document audit</w:t>
      </w:r>
    </w:p>
    <w:p>
      <w:pPr>
        <w:pStyle w:val="ListNumber"/>
        <w:numPr>
          <w:ilvl w:val="0"/>
          <w:numId w:val="10"/>
        </w:numPr>
      </w:pPr>
      <w:r>
        <w:t>language consistency</w:t>
      </w:r>
    </w:p>
    <w:p>
      <w:pPr>
        <w:pStyle w:val="ListNumber"/>
        <w:numPr>
          <w:ilvl w:val="0"/>
          <w:numId w:val="10"/>
        </w:numPr>
      </w:pPr>
      <w:r>
        <w:t>body hygiene</w:t>
      </w:r>
    </w:p>
    <w:p>
      <w:pPr>
        <w:pStyle w:val="ListNumber"/>
        <w:numPr>
          <w:ilvl w:val="0"/>
          <w:numId w:val="10"/>
        </w:numPr>
      </w:pPr>
      <w:r>
        <w:t>cross-language numbers</w:t>
      </w:r>
    </w:p>
    <w:p>
      <w:pPr>
        <w:pStyle w:val="ListNumber"/>
        <w:numPr>
          <w:ilvl w:val="0"/>
          <w:numId w:val="10"/>
        </w:numPr>
      </w:pPr>
      <w:r>
        <w:t>abstract numbers</w:t>
      </w:r>
    </w:p>
    <w:p>
      <w:pPr>
        <w:pStyle w:val="ListNumber"/>
        <w:numPr>
          <w:ilvl w:val="0"/>
          <w:numId w:val="10"/>
        </w:numPr>
      </w:pPr>
      <w:r>
        <w:t>audit chain numbers</w:t>
      </w:r>
    </w:p>
    <w:p>
      <w:pPr>
        <w:pStyle w:val="ListNumber"/>
        <w:numPr>
          <w:ilvl w:val="0"/>
          <w:numId w:val="10"/>
        </w:numPr>
      </w:pPr>
      <w:r>
        <w:t>McNemar recomputation</w:t>
      </w:r>
    </w:p>
    <w:p>
      <w:pPr>
        <w:pStyle w:val="ListNumber"/>
        <w:numPr>
          <w:ilvl w:val="0"/>
          <w:numId w:val="10"/>
        </w:numPr>
      </w:pPr>
      <w:r>
        <w:t>seed scope</w:t>
      </w:r>
    </w:p>
    <w:p>
      <w:pPr>
        <w:pStyle w:val="ListNumber"/>
        <w:numPr>
          <w:ilvl w:val="0"/>
          <w:numId w:val="10"/>
        </w:numPr>
      </w:pPr>
      <w:r>
        <w:t>self-check counts</w:t>
      </w:r>
    </w:p>
    <w:p>
      <w:pPr>
        <w:pStyle w:val="ListNumber"/>
        <w:numPr>
          <w:ilvl w:val="0"/>
          <w:numId w:val="10"/>
        </w:numPr>
      </w:pPr>
      <w:r>
        <w:t>self-check claims</w:t>
      </w:r>
    </w:p>
    <w:p>
      <w:pPr>
        <w:pStyle w:val="ListNumber"/>
        <w:numPr>
          <w:ilvl w:val="0"/>
          <w:numId w:val="10"/>
        </w:numPr>
      </w:pPr>
      <w:r>
        <w:t>publication manifest</w:t>
      </w:r>
    </w:p>
    <w:p>
      <w:pPr>
        <w:pStyle w:val="ListNumber"/>
        <w:numPr>
          <w:ilvl w:val="0"/>
          <w:numId w:val="10"/>
        </w:numPr>
      </w:pPr>
      <w:r>
        <w:t>submission front matter</w:t>
      </w:r>
    </w:p>
    <w:p>
      <w:pPr>
        <w:pStyle w:val="ListNumber"/>
        <w:numPr>
          <w:ilvl w:val="0"/>
          <w:numId w:val="10"/>
        </w:numPr>
      </w:pPr>
      <w:r>
        <w:t>supplementary mirror</w:t>
      </w:r>
    </w:p>
    <w:p>
      <w:pPr>
        <w:pStyle w:val="ListNumber"/>
        <w:numPr>
          <w:ilvl w:val="0"/>
          <w:numId w:val="10"/>
        </w:numPr>
      </w:pPr>
      <w:r>
        <w:t>supplementary index</w:t>
      </w:r>
    </w:p>
    <w:p>
      <w:pPr>
        <w:pStyle w:val="ListNumber"/>
        <w:numPr>
          <w:ilvl w:val="0"/>
          <w:numId w:val="10"/>
        </w:numPr>
      </w:pPr>
      <w:r>
        <w:t>deliverable counts</w:t>
      </w:r>
    </w:p>
    <w:p>
      <w:pPr>
        <w:pStyle w:val="ListNumber"/>
        <w:numPr>
          <w:ilvl w:val="0"/>
          <w:numId w:val="10"/>
        </w:numPr>
      </w:pPr>
      <w:r>
        <w:t>main tables</w:t>
      </w:r>
    </w:p>
    <w:p>
      <w:pPr>
        <w:pStyle w:val="ListNumber"/>
        <w:numPr>
          <w:ilvl w:val="0"/>
          <w:numId w:val="10"/>
        </w:numPr>
      </w:pPr>
      <w:r>
        <w:t>cited paths</w:t>
      </w:r>
    </w:p>
    <w:p>
      <w:pPr>
        <w:pStyle w:val="ListNumber"/>
        <w:numPr>
          <w:ilvl w:val="0"/>
          <w:numId w:val="10"/>
        </w:numPr>
      </w:pPr>
      <w:r>
        <w:t>data authenticity</w:t>
      </w:r>
    </w:p>
    <w:p>
      <w:pPr>
        <w:pStyle w:val="ListNumber"/>
        <w:numPr>
          <w:ilvl w:val="0"/>
          <w:numId w:val="10"/>
        </w:numPr>
      </w:pPr>
      <w:r>
        <w:t>submission readiness</w:t>
      </w:r>
    </w:p>
    <w:p>
      <w:pPr>
        <w:pStyle w:val="ListNumber"/>
        <w:numPr>
          <w:ilvl w:val="0"/>
          <w:numId w:val="10"/>
        </w:numPr>
      </w:pPr>
      <w:r>
        <w:t>submission bundle</w:t>
      </w:r>
    </w:p>
    <w:p>
      <w:pPr>
        <w:pStyle w:val="ListNumber"/>
        <w:numPr>
          <w:ilvl w:val="0"/>
          <w:numId w:val="10"/>
        </w:numPr>
      </w:pPr>
      <w:r>
        <w:t>briefing deck fit</w:t>
      </w:r>
    </w:p>
    <w:p>
      <w:pPr>
        <w:pStyle w:val="ListNumber"/>
        <w:numPr>
          <w:ilvl w:val="0"/>
          <w:numId w:val="10"/>
        </w:numPr>
      </w:pPr>
      <w:r>
        <w:t>equation sources</w:t>
      </w:r>
    </w:p>
    <w:p>
      <w:pPr>
        <w:pStyle w:val="ListNumber"/>
        <w:numPr>
          <w:ilvl w:val="0"/>
          <w:numId w:val="10"/>
        </w:numPr>
      </w:pPr>
      <w:r>
        <w:t>reference DOI record</w:t>
      </w:r>
    </w:p>
    <w:p>
      <w:pPr>
        <w:pStyle w:val="ListNumber"/>
        <w:numPr>
          <w:ilvl w:val="0"/>
          <w:numId w:val="10"/>
        </w:numPr>
      </w:pPr>
      <w:r>
        <w:t>release hygiene</w:t>
      </w:r>
    </w:p>
    <w:p>
      <w:pPr>
        <w:pStyle w:val="ListNumber"/>
        <w:numPr>
          <w:ilvl w:val="0"/>
          <w:numId w:val="10"/>
        </w:numPr>
      </w:pPr>
      <w:r>
        <w:t>selection reproducibility</w:t>
      </w:r>
    </w:p>
    <w:p>
      <w:pPr>
        <w:pStyle w:val="ListNumber"/>
        <w:numPr>
          <w:ilvl w:val="0"/>
          <w:numId w:val="10"/>
        </w:numPr>
      </w:pPr>
      <w:r>
        <w:t>docx freshness</w:t>
      </w:r>
    </w:p>
    <w:p>
      <w:pPr>
        <w:pStyle w:val="ListNumber"/>
        <w:numPr>
          <w:ilvl w:val="0"/>
          <w:numId w:val="10"/>
        </w:numPr>
      </w:pPr>
      <w:r>
        <w:t>JISA format limits</w:t>
      </w:r>
    </w:p>
    <w:p>
      <w:pPr>
        <w:pStyle w:val="ListNumber"/>
        <w:numPr>
          <w:ilvl w:val="0"/>
          <w:numId w:val="10"/>
        </w:numPr>
      </w:pPr>
      <w:r>
        <w:t>duplicate sentences</w:t>
      </w:r>
    </w:p>
    <w:p>
      <w:pPr>
        <w:pStyle w:val="ListNumber"/>
        <w:numPr>
          <w:ilvl w:val="0"/>
          <w:numId w:val="10"/>
        </w:numPr>
      </w:pPr>
      <w:r>
        <w:t>repeated claims</w:t>
      </w:r>
    </w:p>
    <w:p>
      <w:pPr>
        <w:pStyle w:val="ListNumber"/>
        <w:numPr>
          <w:ilvl w:val="0"/>
          <w:numId w:val="10"/>
        </w:numPr>
      </w:pPr>
      <w:r>
        <w:t>discussion and conclusion numbers</w:t>
      </w:r>
    </w:p>
    <w:p>
      <w:pPr>
        <w:pStyle w:val="ListNumber"/>
        <w:numPr>
          <w:ilvl w:val="0"/>
          <w:numId w:val="10"/>
        </w:numPr>
      </w:pPr>
      <w:r>
        <w:t>section and equation refs</w:t>
      </w:r>
    </w:p>
    <w:p>
      <w:pPr>
        <w:pStyle w:val="ListNumber"/>
        <w:numPr>
          <w:ilvl w:val="0"/>
          <w:numId w:val="10"/>
        </w:numPr>
      </w:pPr>
      <w:r>
        <w:t>character-level proofing</w:t>
      </w:r>
    </w:p>
    <w:p>
      <w:pPr>
        <w:pStyle w:val="ListNumber"/>
        <w:numPr>
          <w:ilvl w:val="0"/>
          <w:numId w:val="10"/>
        </w:numPr>
      </w:pPr>
      <w:r>
        <w:t>docx list numbering</w:t>
      </w:r>
    </w:p>
    <w:p>
      <w:pPr>
        <w:pStyle w:val="ListNumber"/>
        <w:numPr>
          <w:ilvl w:val="0"/>
          <w:numId w:val="10"/>
        </w:numPr>
      </w:pPr>
      <w:r>
        <w:t>figure annotations</w:t>
      </w:r>
    </w:p>
    <w:p>
      <w:pPr>
        <w:pStyle w:val="ListNumber"/>
        <w:numPr>
          <w:ilvl w:val="0"/>
          <w:numId w:val="10"/>
        </w:numPr>
      </w:pPr>
      <w:r>
        <w:t>figure reproducibility</w:t>
      </w:r>
    </w:p>
    <w:p>
      <w:pPr>
        <w:pStyle w:val="ListNumber"/>
        <w:numPr>
          <w:ilvl w:val="0"/>
          <w:numId w:val="10"/>
        </w:numPr>
      </w:pPr>
      <w:r>
        <w:t>project flowchart</w:t>
      </w:r>
    </w:p>
    <w:p>
      <w:pPr>
        <w:pStyle w:val="ListNumber"/>
        <w:numPr>
          <w:ilvl w:val="0"/>
          <w:numId w:val="10"/>
        </w:numPr>
      </w:pPr>
      <w:r>
        <w:t>experiment record</w:t>
      </w:r>
    </w:p>
    <w:p>
      <w:pPr>
        <w:pStyle w:val="ListNumber"/>
        <w:numPr>
          <w:ilvl w:val="0"/>
          <w:numId w:val="10"/>
        </w:numPr>
      </w:pPr>
      <w:r>
        <w:t>material index</w:t>
      </w:r>
    </w:p>
    <w:p>
      <w:pPr>
        <w:pStyle w:val="ListNumber"/>
        <w:numPr>
          <w:ilvl w:val="0"/>
          <w:numId w:val="10"/>
        </w:numPr>
      </w:pPr>
      <w:r>
        <w:t>data products</w:t>
      </w:r>
    </w:p>
    <w:p>
      <w:pPr>
        <w:pStyle w:val="ListNumber"/>
        <w:numPr>
          <w:ilvl w:val="0"/>
          <w:numId w:val="10"/>
        </w:numPr>
      </w:pPr>
      <w:r>
        <w:t>extension report</w:t>
      </w:r>
    </w:p>
    <w:p>
      <w:pPr>
        <w:pStyle w:val="Heading1"/>
      </w:pPr>
      <w:r>
        <w:t>四、数据与证据基线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== recorded dataset digests 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CIC-IDS2017: 8 of 8 files verified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CIC-IDS2017: MachineLearningCSV.zip not present locally (raw data is not redistributed)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OK   NSL-KDD: KDDTrain+.txt (19,109,424 bytes)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OK   NSL-KDD: KDDTest+.txt (3,441,513 bytes)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OK   UNSW-NB15: UNSW-NB15_training-set.csv (32,293,018 bytes)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OK   UNSW-NB15: UNSW-NB15_testing-set.csv (15,380,800 bytes)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OK   N-BaIoT: N-BaIoT.zip (1,772,922,927 bytes)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== raw row total against the audit record 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OK   2,830,743 raw rows over eight files = the declared source_rows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== per-seed artefacts 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files carrying all ten seeds: 42; the three-seed set: 21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note results_mlp_long_v5\metrics_by_seed.csv (1 seed) - intermediate run, not cited by the paper or the bundle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== per-row prediction coverage 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45 released populations checked; every sampled prediction file covers its declared test set</w:t>
      </w:r>
    </w:p>
    <w:p>
      <w:pPr>
        <w:spacing w:after="40"/>
      </w:pPr>
    </w:p>
    <w:p>
      <w:pPr>
        <w:pStyle w:val="Heading1"/>
      </w:pPr>
      <w:r>
        <w:t>五、未闭合事项（需作者或外部输入）</w:t>
      </w:r>
    </w:p>
    <w:p>
      <w:pPr>
        <w:pStyle w:val="ListBullet"/>
      </w:pPr>
      <w:r>
        <w:t>open   funding statement (EN)            declared in row A6</w:t>
      </w:r>
    </w:p>
    <w:p>
      <w:pPr>
        <w:pStyle w:val="ListBullet"/>
      </w:pPr>
      <w:r>
        <w:t>open   competing-interest statement (EN) declared in row A6</w:t>
      </w:r>
    </w:p>
    <w:p>
      <w:pPr>
        <w:pStyle w:val="ListBullet"/>
      </w:pPr>
      <w:r>
        <w:t>open   CRediT statement (EN)             declared in row A5</w:t>
      </w:r>
    </w:p>
    <w:p>
      <w:pPr>
        <w:pStyle w:val="ListBullet"/>
      </w:pPr>
      <w:r>
        <w:t>open   funding statement (ZH)            declared in row A6</w:t>
      </w:r>
    </w:p>
    <w:p>
      <w:pPr>
        <w:pStyle w:val="ListBullet"/>
      </w:pPr>
      <w:r>
        <w:t>open   competing-interest (ZH)           declared in row A6</w:t>
      </w:r>
    </w:p>
    <w:p>
      <w:pPr>
        <w:pStyle w:val="ListBullet"/>
      </w:pPr>
      <w:r>
        <w:t>open   CRediT statement (ZH)             declared in row A5</w:t>
      </w:r>
    </w:p>
    <w:p>
      <w:pPr>
        <w:pStyle w:val="ListBullet"/>
      </w:pPr>
      <w:r>
        <w:t>open   cover-letter signature block      declared in row F9</w:t>
      </w:r>
    </w:p>
    <w:p>
      <w:pPr>
        <w:pStyle w:val="ListBullet"/>
      </w:pPr>
      <w:r>
        <w:t>open   CITATION.cff authors field        declared in row A5</w:t>
      </w:r>
    </w:p>
    <w:p>
      <w:pPr>
        <w:pStyle w:val="ListBullet"/>
      </w:pPr>
      <w:r>
        <w:t>8 open item(s), all requiring author input</w:t>
      </w:r>
    </w:p>
    <w:p>
      <w:pPr>
        <w:pStyle w:val="ListBullet"/>
      </w:pPr>
      <w:r>
        <w:t>ISSUE abstract words is 295, limit &lt;= 250</w:t>
      </w:r>
    </w:p>
    <w:p>
      <w:pPr>
        <w:pStyle w:val="Heading1"/>
      </w:pPr>
      <w:r>
        <w:t>六、复现与出包命令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$py = "E:\论文\.venv\Scripts\python.exe"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scripts\verify_all_v8.py                 # 53 项验证闸门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scripts\build_restructured_manuscript_v4.py --only all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scripts\convert_equations_word_v41.py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scripts\build_publication_manifest.py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scripts\package_submission_bundle_v18.py  # 重建投稿压缩包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scripts\audit_data_authenticity_v1.py    # 数据真实性复核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scripts\build_work_log_v1.py             # 重生成本日志</w:t>
      </w:r>
    </w:p>
    <w:p>
      <w:pPr>
        <w:spacing w:after="40"/>
      </w:pPr>
    </w:p>
    <w:p>
      <w:pPr>
        <w:pStyle w:val="Heading1"/>
      </w:pPr>
      <w:r>
        <w:t>七、交付物位置</w:t>
      </w:r>
    </w:p>
    <w:p>
      <w:pPr>
        <w:pStyle w:val="ListBullet"/>
      </w:pPr>
      <w:r>
        <w:t>投稿压缩包：</w:t>
      </w:r>
      <w:r>
        <w:rPr>
          <w:rFonts w:ascii="Consolas" w:hAnsi="Consolas"/>
        </w:rPr>
        <w:t>submission_package/论文投稿包_v1.11.0.zip</w:t>
      </w:r>
    </w:p>
    <w:p>
      <w:pPr>
        <w:pStyle w:val="ListBullet"/>
      </w:pPr>
      <w:r>
        <w:t>桌面交付副本：</w:t>
      </w:r>
      <w:r>
        <w:rPr>
          <w:rFonts w:ascii="Consolas" w:hAnsi="Consolas"/>
        </w:rPr>
        <w:t>C:\Users\27677\Desktop\论文_v1.11.0_全语料版\</w:t>
      </w:r>
    </w:p>
    <w:p>
      <w:pPr>
        <w:pStyle w:val="ListBullet"/>
      </w:pPr>
      <w:r>
        <w:t>正式稿件与辅助文档：</w:t>
      </w:r>
      <w:r>
        <w:rPr>
          <w:rFonts w:ascii="Consolas" w:hAnsi="Consolas"/>
        </w:rPr>
        <w:t>重构版论文_v4_20260915/</w:t>
      </w:r>
    </w:p>
    <w:p>
      <w:pPr>
        <w:pStyle w:val="ListBullet"/>
      </w:pPr>
      <w:r>
        <w:t>补充材料：</w:t>
      </w:r>
      <w:r>
        <w:rPr>
          <w:rFonts w:ascii="Consolas" w:hAnsi="Consolas"/>
        </w:rPr>
        <w:t>重构版论文_v4_20260915/补充材料_S01_S30/</w:t>
      </w:r>
    </w:p>
    <w:p>
      <w:pPr>
        <w:pStyle w:val="ListBullet"/>
      </w:pPr>
      <w:r>
        <w:t>逐样本证据与发布清单：</w:t>
      </w:r>
      <w:r>
        <w:rPr>
          <w:rFonts w:ascii="Consolas" w:hAnsi="Consolas"/>
        </w:rPr>
        <w:t>results_publication_final/</w:t>
      </w:r>
    </w:p>
    <w:p>
      <w:pPr>
        <w:pStyle w:val="Heading1"/>
      </w:pPr>
      <w:r>
        <w:t>八、每轮标准操作流程（本全流程固定执行）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起点核对</w:t>
      </w:r>
      <w:r>
        <w:t>：</w:t>
      </w:r>
      <w:r>
        <w:rPr>
          <w:rFonts w:ascii="Consolas" w:hAnsi="Consolas"/>
        </w:rPr>
        <w:t>git status --short</w:t>
      </w:r>
      <w:r>
        <w:t xml:space="preserve"> 确认工作区干净；跑闸门确认起点全绿，若已失败则本轮只做修复。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选一项</w:t>
      </w:r>
      <w:r>
        <w:t>：按轮转清单取一项（跨文档数字 / 图注 / 统计重算 / 中英对齐 / 补充材料索引 / 参考文献 / 测试覆盖 / 措辞体例 / 数据来源 / 交付件一致性），一轮只推进一项。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只修有证据的缺陷</w:t>
      </w:r>
      <w:r>
        <w:t>：数字或结论与产物不符时，先写脚本断言源值，再改写稿件；不手改 Markdown，不留无出处的数字。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重建产物</w:t>
      </w:r>
      <w:r>
        <w:t>：</w:t>
      </w:r>
      <w:r>
        <w:rPr>
          <w:rFonts w:ascii="Consolas" w:hAnsi="Consolas"/>
        </w:rPr>
        <w:t>build_restructured_manuscript_v4.py --only all</w:t>
      </w:r>
      <w:r>
        <w:t xml:space="preserve"> → </w:t>
      </w:r>
      <w:r>
        <w:rPr>
          <w:rFonts w:ascii="Consolas" w:hAnsi="Consolas"/>
        </w:rPr>
        <w:t>convert_equations_word_v41.py</w:t>
      </w:r>
      <w:r>
        <w:t xml:space="preserve"> → </w:t>
      </w:r>
      <w:r>
        <w:rPr>
          <w:rFonts w:ascii="Consolas" w:hAnsi="Consolas"/>
        </w:rPr>
        <w:t>build_publication_manifest.py</w:t>
      </w:r>
      <w:r>
        <w:t xml:space="preserve"> → </w:t>
      </w:r>
      <w:r>
        <w:rPr>
          <w:rFonts w:ascii="Consolas" w:hAnsi="Consolas"/>
        </w:rPr>
        <w:t>export_manuscript_tables_v1.py</w:t>
      </w:r>
      <w:r>
        <w:t xml:space="preserve"> / </w:t>
      </w:r>
      <w:r>
        <w:rPr>
          <w:rFonts w:ascii="Consolas" w:hAnsi="Consolas"/>
        </w:rPr>
        <w:t>export_submission_text_v1.py</w:t>
      </w:r>
      <w:r>
        <w:t xml:space="preserve"> → </w:t>
      </w:r>
      <w:r>
        <w:rPr>
          <w:rFonts w:ascii="Consolas" w:hAnsi="Consolas"/>
        </w:rPr>
        <w:t>package_submission_bundle_v18.py</w:t>
      </w:r>
      <w:r>
        <w:t>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过闸门</w:t>
      </w:r>
      <w:r>
        <w:t>：53 项检查全绿才提交；不绿则回退本轮改动并报告。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发布</w:t>
      </w:r>
      <w:r>
        <w:t>：</w:t>
      </w:r>
      <w:r>
        <w:rPr>
          <w:rFonts w:ascii="Consolas" w:hAnsi="Consolas"/>
        </w:rPr>
        <w:t>git add</w:t>
      </w:r>
      <w:r>
        <w:t xml:space="preserve"> → commit（Round NN 小步提交）→ 刷新 tag → push 主干与标签 → 同步桌面交付目录。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汇报</w:t>
      </w:r>
      <w:r>
        <w:t>：只在「本轮提交了修复」或「发现需用户决定的问题」时汇报，其余轮次保持安静。</w:t>
      </w:r>
    </w:p>
    <w:p>
      <w:r>
        <w:t xml:space="preserve">&gt; 本日志由 </w:t>
      </w:r>
      <w:r>
        <w:rPr>
          <w:rFonts w:ascii="Consolas" w:hAnsi="Consolas"/>
        </w:rPr>
        <w:t>scripts/build_work_log_v1.py</w:t>
      </w:r>
      <w:r>
        <w:t xml:space="preserve"> 生成；Word 版由 </w:t>
      </w:r>
      <w:r>
        <w:rPr>
          <w:rFonts w:ascii="Consolas" w:hAnsi="Consolas"/>
        </w:rPr>
        <w:t>scripts/build_restructured_manuscript_v4.py --only worklog</w:t>
      </w:r>
      <w:r>
        <w:t xml:space="preserve"> 生成。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