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扩展实验报告</w:t>
      </w:r>
    </w:p>
    <w:p>
      <w:r>
        <w:t xml:space="preserve">&gt; 十四个扩展实验：专家家族与数量、按天留出、外部队列十种子、部署向指标、CIC-IDS2018、CIC-IoT-2023、2020–2023 年语料四份、2025 年语料四份、2026 年语料三份、十二个现代语料的合并等价性检验，以及现代语料阶梯（规模档位、来源留出、特征预算扫描与机制套件）。每个实验的逐种子数据都保存在对应的 </w:t>
      </w:r>
      <w:r>
        <w:rPr>
          <w:rFonts w:ascii="Consolas" w:hAnsi="Consolas"/>
        </w:rPr>
        <w:t>results_*</w:t>
      </w:r>
      <w:r>
        <w:t xml:space="preserve"> 目录中，本报告只从那些文件读数字。</w:t>
      </w:r>
    </w:p>
    <w:p>
      <w:pPr>
        <w:pStyle w:val="Heading1"/>
      </w:pPr>
      <w:r>
        <w:t>一、专家家族与专家数量（Q 扫描）</w:t>
      </w:r>
    </w:p>
    <w:p>
      <w:r>
        <w:rPr>
          <w:b/>
        </w:rPr>
        <w:t>问题</w:t>
      </w:r>
      <w:r>
        <w:t>：惰性是「四个过滤式视图」的特例，还是换成不同模型家族、不同专家数量仍然成立？</w:t>
      </w:r>
    </w:p>
    <w:p>
      <w:r>
        <w:rPr>
          <w:b/>
        </w:rPr>
        <w:t>协议</w:t>
      </w:r>
      <w:r>
        <w:t>：同一特征预算下把成员换成不同家族（随机森林 / 极端随机树 / XGBoost），并在 Q=2/3/4/6 上重复同成员等权对照；三种子，主总体。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scripts\run_member_family_experiments_v1.py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results_member_family_v1/</w:t>
      </w:r>
      <w:r>
        <w:t>（gate_results_by_config.csv、member_metrics_by_seed.csv、predictions_*.csv）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q2（2 成员，分歧 1.01%）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增益 -0.000213，改判 2/23958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q3（3 成员，分歧 0.73%）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增益 +0.000119，改判 1/23958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q4（4 成员，分歧 0.64%）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增益 +0.000140，改判 1/23958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q6（6 成员，分歧 1.68%）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增益 +0.001661，改判 23/23958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families（4 成员，分歧 2.29%）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增益 +0.001421，改判 21/23958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：四个同族过滤式视图（Q=4）是本文最不分散的配置：门控几乎不动。换成跨家族成员后分歧升到 2.3%，增益升到 +0.0014；Q=6 时 +0.0017。也就是说门控并非永远失效，而是只有当成员足够分散时才起作用，且幅度仍落在 0.005 边界内。</w:t>
      </w:r>
    </w:p>
    <w:p>
      <w:pPr>
        <w:pStyle w:val="Heading1"/>
      </w:pPr>
      <w:r>
        <w:t>二、按天留出（时间外推）</w:t>
      </w:r>
    </w:p>
    <w:p>
      <w:r>
        <w:rPr>
          <w:b/>
        </w:rPr>
        <w:t>问题</w:t>
      </w:r>
      <w:r>
        <w:t>：把训练集限制在其它天、测试集换成完整的一天，结论还能成立吗？</w:t>
      </w:r>
    </w:p>
    <w:p>
      <w:r>
        <w:rPr>
          <w:b/>
        </w:rPr>
        <w:t>协议</w:t>
      </w:r>
      <w:r>
        <w:t>：CIC-IDS2017 全去重语料按采集日分组；训练日每类上限 2 万、测试日每类上限 2 万；五折之外还有五个种子；三种子先跑（脚本支持任意种子数）。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scripts\run_day_holdout_v1.py --seeds 42 2024 3407 7 13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results_day_holdout_v1/</w:t>
      </w:r>
      <w:r>
        <w:t>（day_holdout_metrics.csv、predictions/holdout_&lt;day&gt;_seed42.csv）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留出 Friday（测试 41,948 条）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0.317397，等权 χ² 0.317316，差 +0.000081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留出 Monday（测试 20,000 条）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0.199373，等权 χ² 0.199398，差 -0.000025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留出 Thursday（测试 22,143 条）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0.188964，等权 χ² 0.188991，差 -0.000027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留出 Tuesday（测试 29,150 条）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0.170653，等权 χ² 0.182621，差 -0.011968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留出 Wednesday（测试 40,000 条）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0.132851，等权 χ² 0.132895，差 -0.000045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：按天留出时所有模型的 Macro-F1 都跌到 0.13–0.20：CIC-IDS2017 的每一天只覆盖部分攻击类别，留出整天后有些类别在测试集里过少甚至缺失，这从数据侧印证了论文「无法构造类别完整的时间协议」这一限制，而不是给出一段可以外推的性能数字。</w:t>
      </w:r>
    </w:p>
    <w:p>
      <w:pPr>
        <w:pStyle w:val="Heading1"/>
      </w:pPr>
      <w:r>
        <w:t>三、外部基准补齐到十个种子</w:t>
      </w:r>
    </w:p>
    <w:p>
      <w:r>
        <w:rPr>
          <w:b/>
        </w:rPr>
        <w:t>问题</w:t>
      </w:r>
      <w:r>
        <w:t>：NSL-KDD、UNSW-NB15、N-BaIoT 的结论是否依赖三个种子的运气？</w:t>
      </w:r>
    </w:p>
    <w:p>
      <w:r>
        <w:rPr>
          <w:b/>
        </w:rPr>
        <w:t>协议</w:t>
      </w:r>
      <w:r>
        <w:t>：沿用各语料的原生标签与官方划分，只把种子从 3 扩到 10。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scripts\run_rccf_external_v1.py --dataset nsl --data-dir data_external_nsl_kdd_processed_v2 --output-dir results_rccf_nsl_v10 --seeds 42 2024 3407 7 13 101 202 303 404 505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scripts\run_rccf_external_v1.py --dataset unsw --data-dir data\external\UNSW-NB15 --output-dir results_rccf_unsw_v10 --seeds 42 2024 3407 7 13 101 202 303 404 505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scripts\run_rccf_cic_v1.py --processed-dir data_processed_nbaiot_v48 --output-dir results_rccf_nbaiot_v10 --seeds 42 2024 3407 7 13 101 202 303 404 505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results_rccf_nsl_v10/</w:t>
      </w:r>
      <w:r>
        <w:t>、</w:t>
      </w:r>
      <w:r>
        <w:rPr>
          <w:rFonts w:ascii="Consolas" w:hAnsi="Consolas"/>
        </w:rPr>
        <w:t>results_rccf_unsw_v10/</w:t>
      </w:r>
      <w:r>
        <w:t>、</w:t>
      </w:r>
      <w:r>
        <w:rPr>
          <w:rFonts w:ascii="Consolas" w:hAnsi="Consolas"/>
        </w:rPr>
        <w:t>results_rccf_nbaiot_v10/</w:t>
      </w:r>
      <w:r>
        <w:t>（逐种子预测 + 汇总）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NSL-KDD（22,544 条测试，10 种子）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Macro-F1 0.518756 ± 0.003374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UNSW-NB15（82,332 条测试，10 种子）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Macro-F1 0.483371 ± 0.005582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N-BaIoT（27,000 条测试，10 种子）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Macro-F1 0.999941 ± 0.000053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：外部基准的均值与三种子时一致到小数点后三位，说明此前的结论不是种子选择造成的。</w:t>
      </w:r>
    </w:p>
    <w:p>
      <w:pPr>
        <w:pStyle w:val="Heading1"/>
      </w:pPr>
      <w:r>
        <w:t>四、部署向指标</w:t>
      </w:r>
    </w:p>
    <w:p>
      <w:r>
        <w:rPr>
          <w:b/>
        </w:rPr>
        <w:t>问题</w:t>
      </w:r>
      <w:r>
        <w:t>：在部署关心的操作点上（误报率、PR 面积）各模型差多少？</w:t>
      </w:r>
    </w:p>
    <w:p>
      <w:r>
        <w:rPr>
          <w:b/>
        </w:rPr>
        <w:t>协议</w:t>
      </w:r>
      <w:r>
        <w:t>：从公开的逐样本预测重算：攻击/正常二分类 ROC-PR、FPR@95%TPR、逐类 one-vs-rest PR 面积；有概率的目录给出阈值指标，只有标签的目录给出操作点混淆率。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scripts\run_deployment_metrics_v1.py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results_deployment_metrics_v1/</w:t>
      </w:r>
      <w:r>
        <w:t>（deployment_metrics_by_seed.csv、per_class_pr_auc.csv）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equal_rf_chi2（10 种子）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操作点 FPR 0.0044，召回 0.9992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xgboost_chi2（10 种子）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操作点 FPR 0.0002，召回 0.9980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rccf（10 种子）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操作点 FPR 0.0077，召回 0.9984，AUROC 0.99987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：全语料的操作点 FPR 在千分之几量级，XGBoost 最低；条件加权与等权森林在同一量级，差异远小于模型族差异，与主结论一致。</w:t>
      </w:r>
    </w:p>
    <w:p>
      <w:pPr>
        <w:pStyle w:val="Heading1"/>
      </w:pPr>
      <w:r>
        <w:t>五、新语料 CIC-IDS2018</w:t>
      </w:r>
    </w:p>
    <w:p>
      <w:r>
        <w:rPr>
          <w:b/>
        </w:rPr>
        <w:t>问题</w:t>
      </w:r>
      <w:r>
        <w:t>：把同一套六阶段审计与五分类协议搬到 CIC-IDS2018，结论是否复现？</w:t>
      </w:r>
    </w:p>
    <w:p>
      <w:r>
        <w:rPr>
          <w:b/>
        </w:rPr>
        <w:t>协议</w:t>
      </w:r>
      <w:r>
        <w:t>：官方文件 → 全局去重与冲突删除 → 每类上限 → 分层划分 → 与主实验相同的模型与统计流程。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scripts\prepare_cic_ids2018_v1.py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results_rccf_cic_ids2018_v1/</w:t>
      </w:r>
      <w:r>
        <w:t xml:space="preserve">（逐种子预测与汇总）；审计 JSON 在 </w:t>
      </w:r>
      <w:r>
        <w:rPr>
          <w:rFonts w:ascii="Consolas" w:hAnsi="Consolas"/>
        </w:rPr>
        <w:t>results_data_audit_cic_ids2018_v1/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Macro-F1（均值）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0.955231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同成员等权融合 Macro-F1 / 差值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0.955231 / +0.000000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：新语料的结论见上表；与 CIC-IDS2017 相同，条件加权没有超过同成员等权融合。</w:t>
      </w:r>
    </w:p>
    <w:p>
      <w:pPr>
        <w:pStyle w:val="Heading1"/>
      </w:pPr>
      <w:r>
        <w:t>六、新语料 CIC-IoT-2023（八分类）</w:t>
      </w:r>
    </w:p>
    <w:p>
      <w:r>
        <w:rPr>
          <w:b/>
        </w:rPr>
        <w:t>问题</w:t>
      </w:r>
      <w:r>
        <w:t>：在物联网域的第二个语料上，条件加权是否同样没有增益？</w:t>
      </w:r>
    </w:p>
    <w:p>
      <w:r>
        <w:rPr>
          <w:b/>
        </w:rPr>
        <w:t>协议</w:t>
      </w:r>
      <w:r>
        <w:t>：官方文件 → 全局去重与冲突删除 → 每类上限 → 分层划分 → 与主实验相同的模型与统计流程。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scripts\prepare_cic_iot2023_v1.py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results_rccf_cic_iot2023_v1/</w:t>
      </w:r>
      <w:r>
        <w:t xml:space="preserve">（逐种子预测与汇总）；审计 JSON 在 </w:t>
      </w:r>
      <w:r>
        <w:rPr>
          <w:rFonts w:ascii="Consolas" w:hAnsi="Consolas"/>
        </w:rPr>
        <w:t>results_data_audit_cic_iot2023_v1/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Macro-F1（均值）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0.751051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同成员等权融合 Macro-F1 / 差值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0.751054 / -0.000004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：新语料的结论见上表；与 CIC-IDS2017 相同，条件加权没有超过同成员等权融合。</w:t>
      </w:r>
    </w:p>
    <w:p>
      <w:pPr>
        <w:pStyle w:val="Heading1"/>
      </w:pPr>
      <w:r>
        <w:t>七、近年语料（2020–2023）</w:t>
      </w:r>
    </w:p>
    <w:p>
      <w:r>
        <w:rPr>
          <w:b/>
        </w:rPr>
        <w:t>问题</w:t>
      </w:r>
      <w:r>
        <w:t>：换成 2020–2023 年发布、难度更高的语料后，结论是否仍然成立？</w:t>
      </w:r>
    </w:p>
    <w:p>
      <w:r>
        <w:rPr>
          <w:b/>
        </w:rPr>
        <w:t>协议</w:t>
      </w:r>
      <w:r>
        <w:t>：四份公开镜像语料按同一水库去重与分层协议处理，每类上限 5 000（训练）/2 000（测试）；十种子（与主实验同一组种子）、三个确定性视图。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scripts\prepare_tabular_corpus_v1.py --name RT-IoT2022 ...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scripts\run_native_label_benchmark_v1.py --processed-dir data_processed_rt_iot2022_v1 --seeds 42 2024 3407 7 13 101 202 303 404 505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data_processed_*_v1/</w:t>
      </w:r>
      <w:r>
        <w:t xml:space="preserve"> 与 </w:t>
      </w:r>
      <w:r>
        <w:rPr>
          <w:rFonts w:ascii="Consolas" w:hAnsi="Consolas"/>
        </w:rPr>
        <w:t>results_rccf_*_v1/</w:t>
      </w:r>
      <w:r>
        <w:t xml:space="preserve">（逐种子预测与汇总）；原始文件在 </w:t>
      </w:r>
      <w:r>
        <w:rPr>
          <w:rFonts w:ascii="Consolas" w:hAnsi="Consolas"/>
        </w:rPr>
        <w:t>E:\论文\data\external\recent\</w:t>
      </w:r>
      <w:r>
        <w:t xml:space="preserve">，附 </w:t>
      </w:r>
      <w:r>
        <w:rPr>
          <w:rFonts w:ascii="Consolas" w:hAnsi="Consolas"/>
        </w:rPr>
        <w:t>recent_corpora_manifest.json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LITNET-2020（2020）：13 类，测试 9,522 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0.999414，同成员等权融合 0.999414，差 +0.000000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IoT-23（2020）：2 类，测试 4,000 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0.985448，同成员等权融合 0.985448，差 +0.000000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RT-IoT2022（2022）：11 类，测试 5,390 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0.939232，同成员等权融合 0.939161，差 +0.000071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ACI-IoT-2023（2023）：11 类，测试 19,404 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0.778163，同成员等权融合 0.778159，差 +0.000004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：四个 2020–2023 语料上（十种子），门控与同成员等权融合的差值为 +0.000000–+0.000071 Macro-F1；其中 ACI-IoT-2023 与 RT-IoT2022 的绝对水平（0.778 / 0.939）明显低于 2017 数据，说明结论不依赖语料年代，也不依赖判别难度。</w:t>
      </w:r>
    </w:p>
    <w:p>
      <w:pPr>
        <w:pStyle w:val="Heading1"/>
      </w:pPr>
      <w:r>
        <w:t>八、2025 年语料（近一年）</w:t>
      </w:r>
    </w:p>
    <w:p>
      <w:r>
        <w:rPr>
          <w:b/>
        </w:rPr>
        <w:t>问题</w:t>
      </w:r>
      <w:r>
        <w:t>：换成最近一年发布的语料，结论是否仍然成立？</w:t>
      </w:r>
    </w:p>
    <w:p>
      <w:r>
        <w:rPr>
          <w:b/>
        </w:rPr>
        <w:t>协议</w:t>
      </w:r>
      <w:r>
        <w:t>：三份 2025 年公开语料（Zenodo / Mendeley，CC BY 4.0 或记录页许可），同一水库去重与分层协议，十种子、三个确定性视图。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scripts\fetch_2025_corpora_v1.py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scripts\run_native_label_benchmark_v1.py --processed-dir data_processed_uavids2025_v1 --seeds 42 2024 3407 7 13 101 202 303 404 505 --experts full chi2 anova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E:\论文\data\external\y2025\</w:t>
      </w:r>
      <w:r>
        <w:t xml:space="preserve">（原始文件 + </w:t>
      </w:r>
      <w:r>
        <w:rPr>
          <w:rFonts w:ascii="Consolas" w:hAnsi="Consolas"/>
        </w:rPr>
        <w:t>corpora_2025_manifest.json</w:t>
      </w:r>
      <w:r>
        <w:t xml:space="preserve"> 的 SHA-256）；处理与结果在 </w:t>
      </w:r>
      <w:r>
        <w:rPr>
          <w:rFonts w:ascii="Consolas" w:hAnsi="Consolas"/>
        </w:rPr>
        <w:t>data_processed_*2025_v1/</w:t>
      </w:r>
      <w:r>
        <w:t>、</w:t>
      </w:r>
      <w:r>
        <w:rPr>
          <w:rFonts w:ascii="Consolas" w:hAnsi="Consolas"/>
        </w:rPr>
        <w:t>results_rccf_*2025_v1/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UAVIDS-2025（2025-05）：5 类，测试 10,000 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0.945010，同成员等权融合 0.944990，差 +0.000020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GeNIS（2025-02）：4 类，测试 8,000 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0.999875，同成员等权融合 0.999875，差 +0.000000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IDS2025（2025-11）：7 类，测试 9,114 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0.980997，同成员等权融合 0.980981，差 +0.000016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：2025 年语料上（十种子），门控与同成员等权融合的差值同样在 +0.000000–+0.000020 量级；结论不依赖语料年代。</w:t>
      </w:r>
    </w:p>
    <w:p>
      <w:pPr>
        <w:pStyle w:val="Heading1"/>
      </w:pPr>
      <w:r>
        <w:t>九、2025 年数据包级语料 Gotham-2025</w:t>
      </w:r>
    </w:p>
    <w:p>
      <w:r>
        <w:rPr>
          <w:b/>
        </w:rPr>
        <w:t>问题</w:t>
      </w:r>
      <w:r>
        <w:t>：门控在什么条件下才有用？</w:t>
      </w:r>
    </w:p>
    <w:p>
      <w:r>
        <w:rPr>
          <w:b/>
        </w:rPr>
        <w:t>协议</w:t>
      </w:r>
      <w:r>
        <w:t>：Gotham-2025（Zenodo 14502760，CC BY 4.0）在 78 台 IoT 设备上采集 35 134 281 条数据包、18 个类别，按同一水库协议处理；设备地址与时间戳作为泄漏控制被剔除，余下十六列。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scripts\prepare_gotham2025_v1.py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scripts\run_native_label_benchmark_v1.py --processed-dir data_processed_gotham2025_v1 --output-dir results_rccf_gotham2025_v1 --seeds 42 2024 3407 7 13 101 202 303 404 505 --experts full chi2 anova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scripts\run_native_label_benchmark_v1.py --processed-dir data_processed_gotham2025_v1 --output-dir results_rccf_gotham2025_v1_k8 --seeds 42 2024 3407 7 13 101 202 303 404 505 --experts full chi2 anova --feature-k 8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data_processed_gotham2025_v1/</w:t>
      </w:r>
      <w:r>
        <w:t>、</w:t>
      </w:r>
      <w:r>
        <w:rPr>
          <w:rFonts w:ascii="Consolas" w:hAnsi="Consolas"/>
        </w:rPr>
        <w:t>results_rccf_gotham2025_v1/</w:t>
      </w:r>
      <w:r>
        <w:t>（60 维预算，视图重合）、</w:t>
      </w:r>
      <w:r>
        <w:rPr>
          <w:rFonts w:ascii="Consolas" w:hAnsi="Consolas"/>
        </w:rPr>
        <w:t>results_rccf_gotham2025_v1_k8/</w:t>
      </w:r>
      <w:r>
        <w:t>（8/16 维，视图分化）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60 维预算（全部 16 列）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0.992908，同成员等权融合 0.992908，差 +0.000000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8/16 维预算（视图分化）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0.989918，同成员等权融合 0.983666，差 +0.006252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：同一语料、同一批专家：特征预算让三个视图重合时门控完全无效（+0.000000），让它们分化时门控以 +0.006252 超过同成员等权融合，十个种子方向一致。这是全文唯一一个门控稳定为正的语料，边界与命题 1 一致。</w:t>
      </w:r>
    </w:p>
    <w:p>
      <w:pPr>
        <w:pStyle w:val="Heading1"/>
      </w:pPr>
      <w:r>
        <w:t>十、2026 年语料（最新一批）</w:t>
      </w:r>
    </w:p>
    <w:p>
      <w:r>
        <w:rPr>
          <w:b/>
        </w:rPr>
        <w:t>问题</w:t>
      </w:r>
      <w:r>
        <w:t>：最新发布的开放语料是否改变结论？</w:t>
      </w:r>
    </w:p>
    <w:p>
      <w:r>
        <w:rPr>
          <w:b/>
        </w:rPr>
        <w:t>协议</w:t>
      </w:r>
      <w:r>
        <w:t>：三份 2026 年发布、CC BY 4.0 的语料，同一水库协议、同一组十个种子；6TiSCHSet-2026 按它自己的模式文档剔除三个标识列。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scripts\fetch_2026_corpora_v1.py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scripts\prepare_2026_corpora_v1.py --dataset ctu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scripts\prepare_2026_corpora_v1.py --dataset 6tisch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scripts\prepare_2026_corpora_v1.py --dataset rtn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E:\论文\data\external\y2026\</w:t>
      </w:r>
      <w:r>
        <w:t xml:space="preserve">（原始文件 + </w:t>
      </w:r>
      <w:r>
        <w:rPr>
          <w:rFonts w:ascii="Consolas" w:hAnsi="Consolas"/>
        </w:rPr>
        <w:t>corpora_2026_manifest.json</w:t>
      </w:r>
      <w:r>
        <w:t xml:space="preserve"> 的 MD5）；处理与结果在 </w:t>
      </w:r>
      <w:r>
        <w:rPr>
          <w:rFonts w:ascii="Consolas" w:hAnsi="Consolas"/>
        </w:rPr>
        <w:t>data_processed_*2026_v1/</w:t>
      </w:r>
      <w:r>
        <w:t>、</w:t>
      </w:r>
      <w:r>
        <w:rPr>
          <w:rFonts w:ascii="Consolas" w:hAnsi="Consolas"/>
        </w:rPr>
        <w:t>results_rccf_*2026_v1/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CTU-IDSEVAL-6（2026）：3 类，测试 4,599 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0.893281，同成员等权融合 0.893307，差 -0.000026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6TiSCHSet-2026（2026）：8 类，测试 15,957 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0.994623，同成员等权融合 0.994623，差 +0.000000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RTN 数据包表（2026）：2 类，测试 2,538 条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1.000000，同成员等权融合 1.000000，差 +0.000000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：三份最新语料上门控与同成员等权融合的差值在 -0.000026–0.000000 之间，其中 RTN 已饱和；结论不随语料年代改变。</w:t>
      </w:r>
    </w:p>
    <w:p>
      <w:pPr>
        <w:pStyle w:val="Heading1"/>
      </w:pPr>
      <w:r>
        <w:t>十一、现代语料的合并等价性检验</w:t>
      </w:r>
    </w:p>
    <w:p>
      <w:r>
        <w:rPr>
          <w:b/>
        </w:rPr>
        <w:t>问题</w:t>
      </w:r>
      <w:r>
        <w:t>：把 2020–2026 年的语料合并起来，等价性还成立吗？</w:t>
      </w:r>
    </w:p>
    <w:p>
      <w:r>
        <w:rPr>
          <w:b/>
        </w:rPr>
        <w:t>协议</w:t>
      </w:r>
      <w:r>
        <w:t>：十二个 2020–2026 年发布的语料，同一协议、同一组十个种子、同一套同成员对照；每个语料的逐种子配对差由它自己发布的逐样本预测重算。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scripts\analyse_modern_replication_v1.py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results_modern_replication_v1/</w:t>
      </w:r>
      <w:r>
        <w:t>（per_corpus_differences.csv、summary.json）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合并（120 个种子级比较）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均值 +0.000007，90% 区间 [-0.000006, +0.000020]，0.005 边界内等价=True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并入 Gotham-2025 降维正例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均值 +0.000487，90% 区间 [+0.000243, +0.000732]，仍等价=True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：把等价性结论从 2017 年的单一语料搬到 2020–2026 年的十二个语料上：合并区间比 0.005 边界窄两个数量级，唯一的正例（Gotham 降维）并入后总体仍等价。</w:t>
      </w:r>
    </w:p>
    <w:p>
      <w:pPr>
        <w:pStyle w:val="Heading1"/>
      </w:pPr>
      <w:r>
        <w:t>十二、现代语料阶梯：规模档位与来源留出</w:t>
      </w:r>
    </w:p>
    <w:p>
      <w:r>
        <w:rPr>
          <w:b/>
        </w:rPr>
        <w:t>问题</w:t>
      </w:r>
      <w:r>
        <w:t>：把 2017 年语料上的规模性劣势搬到现代语料上，还能复现吗？换设备、换运行之后呢？</w:t>
      </w:r>
    </w:p>
    <w:p>
      <w:r>
        <w:rPr>
          <w:b/>
        </w:rPr>
        <w:t>协议</w:t>
      </w:r>
      <w:r>
        <w:t>：CIC-IoT-2023 每类上限 20 万与 50 万两档、Gotham-2025 每类 20 万档与不限上限全档（3 513 万条、18 类），全部十种子、同一协议；另做 Gotham 逐设备留出（78 台留出 12 台）与 6TiSCHSet 逐运行留出（122 次留出 12 次）。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scripts\\run_native_label_benchmark_v1.py --processed-dir data_processed_gotham2025_full --output-dir results_rccf_gotham2025_full --seeds 42 2024 3407 7 13 101 202 303 404 505 --experts full chi2 anova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results_rccf_cic_iot2023_cap200k/</w:t>
      </w:r>
      <w:r>
        <w:t>、</w:t>
      </w:r>
      <w:r>
        <w:rPr>
          <w:rFonts w:ascii="Consolas" w:hAnsi="Consolas"/>
        </w:rPr>
        <w:t>results_rccf_cic_iot2023_cap500k/</w:t>
      </w:r>
      <w:r>
        <w:t>、</w:t>
      </w:r>
      <w:r>
        <w:rPr>
          <w:rFonts w:ascii="Consolas" w:hAnsi="Consolas"/>
        </w:rPr>
        <w:t>results_rccf_gotham2025_cap200k/</w:t>
      </w:r>
      <w:r>
        <w:t>、</w:t>
      </w:r>
      <w:r>
        <w:rPr>
          <w:rFonts w:ascii="Consolas" w:hAnsi="Consolas"/>
        </w:rPr>
        <w:t>results_rccf_gotham2025_full/</w:t>
      </w:r>
      <w:r>
        <w:t>、</w:t>
      </w:r>
      <w:r>
        <w:rPr>
          <w:rFonts w:ascii="Consolas" w:hAnsi="Consolas"/>
        </w:rPr>
        <w:t>results_source_holdout_gotham_v1/</w:t>
      </w:r>
      <w:r>
        <w:t>、</w:t>
      </w:r>
      <w:r>
        <w:rPr>
          <w:rFonts w:ascii="Consolas" w:hAnsi="Consolas"/>
        </w:rPr>
        <w:t>results_source_holdout_6tisch_v1/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CIC-IoT-2023 每类 20 万（测试 307,516）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0.726505，同成员等权 0.726525，差 -0.000021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CIC-IoT-2023 每类 50 万（测试 599,792）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0.714826，同成员等权 0.714830，差 -0.000004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Gotham-2025 每类 20 万（测试 415,223）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差 +0.000011（十个种子全部非负）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Gotham-2025 不限上限（测试 7,189,693）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0.984475，同成员等权 0.984465，差 +0.000009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Gotham 逐设备留出（12/78 台）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均值 0.967127，最小 0.764909，最大 1.000000，两臂差 +0.000000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6TiSCHSet 逐运行留出（12/122 次）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RCCF 均值 0.522326，最小 0.167774，最大 1.000000，两臂差 +0.000123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：主实验里 -0.005533 的规模性劣势未在现代语料上复现：CIC-IoT-2023 在 246 万训练行上仍只有 -0.000004，Gotham 全档在 1 425 万训练行、719 万测试行上是 +0.000009；换设备/换运行这一真实分布位移下，两条臂依然不可区分（Gotham +0.000000，6TiSCH +0.000123）。</w:t>
      </w:r>
    </w:p>
    <w:p>
      <w:pPr>
        <w:pStyle w:val="Heading1"/>
      </w:pPr>
      <w:r>
        <w:t>十三、特征预算扫描（CIC-IoT-2023）</w:t>
      </w:r>
    </w:p>
    <w:p>
      <w:r>
        <w:rPr>
          <w:b/>
        </w:rPr>
        <w:t>问题</w:t>
      </w:r>
      <w:r>
        <w:t>：门控相对等权融合的优势是否随特征预算单调变化？</w:t>
      </w:r>
    </w:p>
    <w:p>
      <w:r>
        <w:rPr>
          <w:b/>
        </w:rPr>
        <w:t>协议</w:t>
      </w:r>
      <w:r>
        <w:t>：同一语料、同一组十个种子，只改特征预算 k=8/16/32/60。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scripts\\run_feature_budget_sweep_v1.py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results_rccf_cic_iot2023_k{8,16,32,60}/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k=8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差 +0.001663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k=16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差 +0.000402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k=32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差 -0.000002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k=60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差 -0.000004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：预算越小、成员越不可互换，门控优势越大；k≥32 时特征选择三视图开始重合，差值回落到噪声水平。k=60 与主实验的 CIC-IoT-2023 数字逐位一致，顺带验证了扫描管线没有走样。</w:t>
      </w:r>
    </w:p>
    <w:p>
      <w:pPr>
        <w:pStyle w:val="Heading1"/>
      </w:pPr>
      <w:r>
        <w:t>十四、机制套件：边距上界、权重机制与多样性</w:t>
      </w:r>
    </w:p>
    <w:p>
      <w:r>
        <w:rPr>
          <w:b/>
        </w:rPr>
        <w:t>问题</w:t>
      </w:r>
      <w:r>
        <w:t>：为什么两条臂几乎不可区分？分歧何时开始起作用？</w:t>
      </w:r>
    </w:p>
    <w:p>
      <w:r>
        <w:rPr>
          <w:b/>
        </w:rPr>
        <w:t>协议</w:t>
      </w:r>
      <w:r>
        <w:t>：在 CIC-IoT-2023 与 Gotham-2025 上重算边距上界与权重分布，并在 CIC-IoT-2023 上跑五组专家配置的多样性剂量—反应。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scripts\\analyze_margin_bound_v5.py  # 另见 analyze_weight_mechanism.py、run_diversity_suite_v5.py</w:t>
      </w:r>
    </w:p>
    <w:p>
      <w:pPr>
        <w:spacing w:after="40"/>
      </w:pPr>
    </w:p>
    <w:p>
      <w:r>
        <w:rPr>
          <w:b/>
        </w:rPr>
        <w:t>实验数据</w:t>
      </w:r>
      <w:r>
        <w:t>：</w:t>
      </w:r>
      <w:r>
        <w:rPr>
          <w:rFonts w:ascii="Consolas" w:hAnsi="Consolas"/>
        </w:rPr>
        <w:t>results_margin_bound_cic-iot2023_v1/</w:t>
      </w:r>
      <w:r>
        <w:t>、</w:t>
      </w:r>
      <w:r>
        <w:rPr>
          <w:rFonts w:ascii="Consolas" w:hAnsi="Consolas"/>
        </w:rPr>
        <w:t>results_margin_bound_gotham2025_v1/</w:t>
      </w:r>
      <w:r>
        <w:t>、</w:t>
      </w:r>
      <w:r>
        <w:rPr>
          <w:rFonts w:ascii="Consolas" w:hAnsi="Consolas"/>
        </w:rPr>
        <w:t>results_weight_mechanism_{cic-iot2023,gotham2025}_v1/</w:t>
      </w:r>
      <w:r>
        <w:t>、</w:t>
      </w:r>
      <w:r>
        <w:rPr>
          <w:rFonts w:ascii="Consolas" w:hAnsi="Consolas"/>
        </w:rPr>
        <w:t>results_diversity_cic_iot2023_v1/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CIC-IoT-2023 改判行数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12/375,160，理论界可证比例 0.9945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Gotham-2025 改判行数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0/297,180，理论界可证比例 0.9998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Gotham 树权重区间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0.009091–0.010197（围绕均匀值 0.01）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多样性剂量—反应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增益 ~ 平均成对分歧，斜率 +0.004830，Pearson r = 0.744</w:t>
            </w:r>
          </w:p>
        </w:tc>
      </w:tr>
    </w:tbl>
    <w:p>
      <w:pPr>
        <w:spacing w:after="40"/>
      </w:pPr>
    </w:p>
    <w:p>
      <w:r>
        <w:rPr>
          <w:b/>
        </w:rPr>
        <w:t>结论</w:t>
      </w:r>
      <w:r>
        <w:t>：门控确实在调权，但幅度落在 0.0091–0.0102 之间（均匀值为 0.01），而两条臂的改判行数只有 12/375160 与 0/297180 这个量级；当专家分歧被放大（互斥特征视图）时增益随之升到 +0.0026，方向与剂量都符合可辨识性预测。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