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论文介绍</w:t>
      </w:r>
    </w:p>
    <w:p>
      <w:r>
        <w:rPr>
          <w:b/>
        </w:rPr>
        <w:t>中文标题</w:t>
      </w:r>
      <w:r>
        <w:t>：等价性终结于何处：总体构造而非聚合规则决定基于流特征的网络入侵检测集成增益</w:t>
      </w:r>
    </w:p>
    <w:p>
      <w:r>
        <w:rPr>
          <w:b/>
        </w:rPr>
        <w:t>English title</w:t>
      </w:r>
      <w:r>
        <w:t>：Where Equivalence Ends: Population Construction, Not the Aggregation Rule, Determines Reported Ensemble Gains in Flow-Based Network Intrusion Detection</w:t>
      </w:r>
    </w:p>
    <w:p>
      <w:r>
        <w:rPr>
          <w:b/>
        </w:rPr>
        <w:t>发布版本</w:t>
      </w:r>
      <w:r>
        <w:t>：1.11.0</w:t>
      </w:r>
    </w:p>
    <w:p>
      <w:r>
        <w:rPr>
          <w:b/>
        </w:rPr>
        <w:t>代码与证据仓库</w:t>
      </w:r>
      <w:r>
        <w:t>：https://github.com/linran-muxue/leakage-controlled-nids-study</w:t>
      </w:r>
    </w:p>
    <w:p>
      <w:pPr>
        <w:pStyle w:val="Heading1"/>
      </w:pPr>
      <w:r>
        <w:t>一、一句话结论</w:t>
      </w:r>
    </w:p>
    <w:p>
      <w:r>
        <w:t>在统一的泄漏受控协议下，「按样本可靠性对多个随机森林专家做条件加权」相对等权投票</w:t>
      </w:r>
      <w:r>
        <w:rPr>
          <w:b/>
        </w:rPr>
        <w:t>没有判别增益</w:t>
      </w:r>
      <w:r>
        <w:t>：截断总体上两者等价（Macro-F1 平均差 -0.000456，TOST 在两个预设边界成立），而完全取消类别上限的全语料上转为稳定劣势 （-0.005533，十个种子方向一致）；同时，</w:t>
      </w:r>
      <w:r>
        <w:rPr>
          <w:b/>
        </w:rPr>
        <w:t>协议选择的影响比聚合规则本身大一个数量级</w:t>
      </w:r>
      <w:r>
        <w:t>（类别先验 0.0725、去重顺序至多 0.0060，聚合规则仅 0.0005 量级）。</w:t>
      </w:r>
    </w:p>
    <w:p>
      <w:pPr>
        <w:pStyle w:val="Heading1"/>
      </w:pPr>
      <w:r>
        <w:t>二、研究问题、判据与缺口</w:t>
      </w:r>
    </w:p>
    <w:p>
      <w:r>
        <w:t>条件集成加权（按样本估计的可靠性权重融合多个专家）被广泛采用，但公开数据集上的性能差异极易被四类因素污染：</w:t>
      </w:r>
      <w:r>
        <w:rPr>
          <w:b/>
        </w:rPr>
        <w:t>重复与近重复样本</w:t>
      </w:r>
      <w:r>
        <w:t>、</w:t>
      </w:r>
      <w:r>
        <w:rPr>
          <w:b/>
        </w:rPr>
        <w:t>标签冲突</w:t>
      </w:r>
      <w:r>
        <w:t>（同一特征向量被赋不同标签）、</w:t>
      </w:r>
      <w:r>
        <w:rPr>
          <w:b/>
        </w:rPr>
        <w:t>特征选择泄漏</w:t>
      </w:r>
      <w:r>
        <w:t>（选择器在全量数据上拟合）以及</w:t>
      </w:r>
      <w:r>
        <w:rPr>
          <w:b/>
        </w:rPr>
        <w:t>类别先验与调参预算</w:t>
      </w:r>
      <w:r>
        <w:t>。缺少受控验证时，「加权优于等权」既可能是机制效应，也可能只是协议副作用。</w:t>
      </w:r>
    </w:p>
    <w:p>
      <w:r>
        <w:t>本文把问题拆成三个可回答的子问题：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编号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问题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判据（事先定好，不随结果调整）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RQ1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条件加权相对等权投票是否带来判别增益？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十种子配对差 + TOST 等价检验，边界预设为 Δ = 0.005 与 Δ = 0.01（Macro-F1）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RQ2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若没有增益，机制上为什么动不了预测？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逐行可计算上界（式 2）给出的「可证不变比例」+ 权重弥散度 + 门控搜索的取值多样性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RQ3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结论随规模、先验与语料如何变化？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三档总体（53 237 / 413 209 / 2 429 503）+ 平衡控制总体 + 三个独立原生标签基准 + 17 个语料（含 2025 年发布的四份）</w:t>
            </w:r>
          </w:p>
        </w:tc>
      </w:tr>
    </w:tbl>
    <w:p>
      <w:pPr>
        <w:spacing w:after="40"/>
      </w:pPr>
    </w:p>
    <w:p>
      <w:r>
        <w:rPr>
          <w:b/>
        </w:rPr>
        <w:t>为什么用等价检验而不是「p &gt; 0.05」</w:t>
      </w:r>
      <w:r>
        <w:t>：十种子下 80% 功效能检出的最小差是 0.001146，与观测差 0.000456 同量级——「不显著」在这种情况下无法区分「真的没有差异」与「样本不够」。TOST 把「差落在 ±Δ 内」本身当成待检验命题，两个边界同时报告，并配合种子级区间与测试行配对 Bootstrap 一起看。</w:t>
      </w:r>
    </w:p>
    <w:p>
      <w:pPr>
        <w:pStyle w:val="Heading1"/>
      </w:pPr>
      <w:r>
        <w:t>三、做法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环节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设定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主数据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CIC-IDS2017（原始 2 830 743 条，审计后取研究总体）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外部/跨域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NSL-KDD、UNSW-NB15、N-BaIoT（UCI 442，CC BY 4.0）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协议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标签映射 → 非有限值清理 → 物理范围筛查 → 全局去重 → 分层划分 → 训练侧特征选择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对照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等权 χ² 森林（最直接对照）、全特征等权森林、极端随机树、XGBoost、MLP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种子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主实验 10 个（42, 2024, 3407, 7, 13, 101, 202, 303, 404, 505）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统计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配对差 + 种子级 90%/95% 区间 + 测试行配对 Bootstrap + TOST（0.005/0.01）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六阶段计数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原始 2,830,743 → 可映射标签 2,671,766（剔除 158,977）→ 非有限值剔除 2,741 后 2,669,025 → 物理范围筛查 2,668,729 → 全局去重 → 分层划分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三档总体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截断 53 237（每类 ≤20 000）/ 扩大 413 209（每类 ≤200 000）/ 全去重语料 2 429 503（取消上限）；测试行 7 986 / 61 982 / 364 426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专家构造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两种特征视图（卡方 60 维、全特征）× 两类森林（随机森林、极端随机树）共 4 个专家；条件分支与对照臂共用同一批专家，只换聚合规则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权重与门控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专家风险代理（边距描述子）过 softmax(−风险) 得权重，再做凸组合；门控在验证集上搜 108 组配置，选中 cv=3、C=1、margin，测试集不参与选择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特征选择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只在训练侧拟合：χ²、互信息、ANOVA 三种判据（外部基准与规模阶梯同协议）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评价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主指标 Macro-F1；同时报告准确率、平衡准确率、log loss、ECE/MCE、覆盖率</w:t>
            </w:r>
          </w:p>
        </w:tc>
      </w:tr>
    </w:tbl>
    <w:p>
      <w:pPr>
        <w:spacing w:after="40"/>
      </w:pPr>
    </w:p>
    <w:p>
      <w:pPr>
        <w:pStyle w:val="Heading1"/>
      </w:pPr>
      <w:r>
        <w:t>四、主要结果</w:t>
      </w:r>
    </w:p>
    <w:p>
      <w:pPr>
        <w:pStyle w:val="Heading2"/>
      </w:pPr>
      <w:r>
        <w:t>4.1 三档总体：结论随规模反转（Macro-F1，十种子平均）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总体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流量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测试行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条件加权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等权 χ² 森林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平均差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TOST 0.005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TOST 0.01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截断（每类 20 000）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53 237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7 986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0.889278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0.889734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-0.000456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扩大 7.8 倍（每类 200 000）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413 209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61 982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0.856065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0.857202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-0.001137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全去重语料（取消上限）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2 429 503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364,426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0.754007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0.759540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-0.005533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不等价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</w:t>
            </w:r>
          </w:p>
        </w:tc>
      </w:tr>
    </w:tbl>
    <w:p>
      <w:pPr>
        <w:spacing w:after="40"/>
      </w:pPr>
    </w:p>
    <w:p>
      <w:r>
        <w:t>截断总体上的两个区间估计都落在等价边界内：种子级 90% [-0.001124, 0.000212]，测试行配对 Bootstrap [-0.004251, 0.003382]；逐种子方向五正五负。全语料的 90% 区间为 [-0.007179, -0.003886]。</w:t>
      </w:r>
    </w:p>
    <w:p>
      <w:pPr>
        <w:pStyle w:val="Heading2"/>
      </w:pPr>
      <w:r>
        <w:t>4.2 统计判据：逐种子、逐行的完整记录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种子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条件加权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等权 χ²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差值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90% 区间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不一致对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McNemar p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TOST 0.005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TOST 0.01</w:t>
            </w:r>
          </w:p>
        </w:tc>
      </w:tr>
      <w:tr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0.889284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0.891714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-0.002431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[-0.004796, -0.000251]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0.146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</w:t>
            </w:r>
          </w:p>
        </w:tc>
      </w:tr>
      <w:tr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2024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0.891333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0.892294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-0.000961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[-0.004234, 0.002247]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1.000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</w:t>
            </w:r>
          </w:p>
        </w:tc>
      </w:tr>
      <w:tr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3407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0.889249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0.891144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-0.001896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[-0.004740, 0.000689]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1.000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</w:t>
            </w:r>
          </w:p>
        </w:tc>
      </w:tr>
      <w:tr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0.889284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0.890710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-0.001426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[-0.005005, 0.002056]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0.607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不等价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</w:t>
            </w:r>
          </w:p>
        </w:tc>
      </w:tr>
      <w:tr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0.888869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0.888488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+0.000381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[-0.002867, 0.003373]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1.000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</w:t>
            </w:r>
          </w:p>
        </w:tc>
      </w:tr>
      <w:tr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101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0.887371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0.886525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+0.000846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[-0.002795, 0.004484]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0.754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</w:t>
            </w:r>
          </w:p>
        </w:tc>
      </w:tr>
      <w:tr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0.889350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0.889205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+0.000145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[-0.003684, 0.003696]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0.388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</w:t>
            </w:r>
          </w:p>
        </w:tc>
      </w:tr>
      <w:tr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303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0.890573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0.890302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+0.000271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[-0.002827, 0.003302]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0.688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</w:t>
            </w:r>
          </w:p>
        </w:tc>
      </w:tr>
      <w:tr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404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0.889005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0.888262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+0.000743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[-0.003057, 0.004405]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1.000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</w:t>
            </w:r>
          </w:p>
        </w:tc>
      </w:tr>
      <w:tr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505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0.888465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0.888697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-0.000232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[-0.004656, 0.003633]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0.189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</w:t>
            </w:r>
          </w:p>
        </w:tc>
        <w:tc>
          <w:tcPr>
            <w:tcW w:type="dxa" w:w="108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方向</w:t>
      </w:r>
      <w:r>
        <w:t>：5 个种子支持条件加权、5 个支持等权（无并列），不是某个种子拖出来的结论；</w:t>
      </w:r>
    </w:p>
    <w:p>
      <w:pPr>
        <w:pStyle w:val="ListBullet"/>
      </w:pPr>
      <w:r>
        <w:rPr>
          <w:b/>
        </w:rPr>
        <w:t>等价</w:t>
      </w:r>
      <w:r>
        <w:t>：0.005 边界 9/10 个种子已等价，0.01 边界 10/10；</w:t>
      </w:r>
    </w:p>
    <w:p>
      <w:pPr>
        <w:pStyle w:val="ListBullet"/>
      </w:pPr>
      <w:r>
        <w:rPr>
          <w:b/>
        </w:rPr>
        <w:t>逐行</w:t>
      </w:r>
      <w:r>
        <w:t>：每次比较只有 6–21 行预测不同（占 7 986 行的 0.08%–0.26%），McNemar p 值 0.146–1.000，没有一次达到显著；</w:t>
      </w:r>
    </w:p>
    <w:p>
      <w:pPr>
        <w:pStyle w:val="ListBullet"/>
      </w:pPr>
      <w:r>
        <w:rPr>
          <w:b/>
        </w:rPr>
        <w:t>效应量</w:t>
      </w:r>
      <w:r>
        <w:t>：Cohen's dz = -0.396，相对差 -0.051%；</w:t>
      </w:r>
    </w:p>
    <w:p>
      <w:pPr>
        <w:pStyle w:val="ListBullet"/>
      </w:pPr>
      <w:r>
        <w:rPr>
          <w:b/>
        </w:rPr>
        <w:t>功效</w:t>
      </w:r>
      <w:r>
        <w:t>：十个种子下 80% 功效可检出的最小差为 0.001146，说明「不显著」本身不构成证据，必须用等价检验；</w:t>
      </w:r>
    </w:p>
    <w:p>
      <w:pPr>
        <w:pStyle w:val="ListBullet"/>
      </w:pPr>
      <w:r>
        <w:rPr>
          <w:b/>
        </w:rPr>
        <w:t>全语料</w:t>
      </w:r>
      <w:r>
        <w:t>：差值 -0.005533，逐种子预测不一致行数平均 216、最多 392 行（测试 364 426 行），方向十次全负。</w:t>
      </w:r>
    </w:p>
    <w:p>
      <w:pPr>
        <w:pStyle w:val="Heading2"/>
      </w:pPr>
      <w:r>
        <w:t>4.3 机制：为什么权重动不了预测</w:t>
      </w:r>
    </w:p>
    <w:p>
      <w:pPr>
        <w:pStyle w:val="ListBullet"/>
      </w:pPr>
      <w:r>
        <w:t xml:space="preserve">逐行可计算上界证明 </w:t>
      </w:r>
      <w:r>
        <w:rPr>
          <w:b/>
        </w:rPr>
        <w:t>99.91%</w:t>
      </w:r>
      <w:r>
        <w:t xml:space="preserve"> 的测试行不受权重影响，实际改判 0 行；</w:t>
      </w:r>
    </w:p>
    <w:p>
      <w:pPr>
        <w:pStyle w:val="ListBullet"/>
      </w:pPr>
      <w:r>
        <w:t xml:space="preserve">权重归一化熵 </w:t>
      </w:r>
      <w:r>
        <w:rPr>
          <w:b/>
        </w:rPr>
        <w:t>0.99998</w:t>
      </w:r>
      <w:r>
        <w:t>，概率 L1 平均变化 0.000299（最大 0.003473）；</w:t>
      </w:r>
    </w:p>
    <w:p>
      <w:pPr>
        <w:pStyle w:val="ListBullet"/>
      </w:pPr>
      <w:r>
        <w:t xml:space="preserve">门控 </w:t>
      </w:r>
      <w:r>
        <w:rPr>
          <w:b/>
        </w:rPr>
        <w:t>108</w:t>
      </w:r>
      <w:r>
        <w:t xml:space="preserve"> 种超参数配置只产生 </w:t>
      </w:r>
      <w:r>
        <w:rPr>
          <w:b/>
        </w:rPr>
        <w:t>6</w:t>
      </w:r>
      <w:r>
        <w:t xml:space="preserve"> 个不同的验证集取值，锁定后在测试集上改判 0 行；</w:t>
      </w:r>
    </w:p>
    <w:p>
      <w:pPr>
        <w:pStyle w:val="ListBullet"/>
      </w:pPr>
      <w:r>
        <w:t>增益与专家多样性同步变化（十五个构造配置上的剂量—反应关系，属相关性证据，非干预实验）：分歧率 0.20%–0.36% 的专家集合 6 次运行增益全为 0，去相关集合 9 次运行全为正（回归斜率 0.0646，Pearson r = 0.749）。</w:t>
      </w:r>
    </w:p>
    <w:p>
      <w:pPr>
        <w:pStyle w:val="ListBullet"/>
      </w:pPr>
      <w:r>
        <w:t>权重弥散的二阶刻画：式 (3)/(4) 的一阶与二阶展开预测熵亏分别为 3.365e-05 与 3.187e-05，实测 3.237e-05（相对误差 4.0% / 1.5%）；风险偏移的中位标准差 0.000220；</w:t>
      </w:r>
    </w:p>
    <w:p>
      <w:pPr>
        <w:pStyle w:val="ListBullet"/>
      </w:pPr>
      <w:r>
        <w:t>门控锁定的配置是 cv=3、C=1、描述子 margin（验证集 Macro-F1 0.896006 ± 0.000202），选择只发生在验证集，测试集全程未参与；</w:t>
      </w:r>
    </w:p>
    <w:p>
      <w:pPr>
        <w:pStyle w:val="ListBullet"/>
      </w:pPr>
      <w:r>
        <w:t>专家集合的分歧率决定增益大小：当专家两两分歧率降到 0.2%–0.4% 时，结构上不可能产生增益（命题 1 的失效区间）；本文的主实验正落在该区间内。</w:t>
      </w:r>
    </w:p>
    <w:p>
      <w:pPr>
        <w:pStyle w:val="ListBullet"/>
      </w:pPr>
      <w:r>
        <w:rPr>
          <w:b/>
        </w:rPr>
        <w:t>语料年代不是结论的前提</w:t>
      </w:r>
      <w:r>
        <w:t>：本文共评测 17 个语料，其中八个发布于 2020 年及以后、四份发布于 2025 年；2025 年语料上门控与同成员等权融合的差值仍在 0.000004-0.000020 量级：UAVIDS-2025（5 类，Macro-F1 0.9450，差 +0.000020）、GeNIS（4 类，Macro-F1 0.9999，差 +0.000000）、IDS2025（7 类，Macro-F1 0.9810，差 +0.000016）、Gotham-2025（18 类，Macro-F1 0.9929，差 +0.000000）。Gotham-2025 另给出全文唯一一个门控为正的案例：视图重合时差值恰为 0.000000，把 16 列拆成 8 列让视图分化后增益 +0.0063（十个种子方向一致）。2026 年新发布的三份语料（CTU-IDSEVAL-6、6TiSCHSet-2026、RTN 数据包表）差值在 -0.000026 到 0.000000 之间。把 2020–2026 年的十二个语料合并起来是 120 个种子级比较，均值 +0.000007、90% 区间 [-0.000006, +0.000020]，仍在 0.005 边界内。把主语料整体换成现代语料后结论不变：Gotham-2025 不限上限的 7 189 693 条测试行上两条臂差 +0.000009，逐设备留出（12/78 台，均值 0.9671）与逐运行留出（12/122 次，均值 0.5223）下依然不可区分（差 +0.000000 与 +0.000123）；只有把特征预算压到 8 维、让成员真正互斥时门控才占优（+0.001663），用满 60 维回到 -0.000004。机制上 Gotham 全档两条臂只改判 0 行、树权重落在 0.0091–0.0102 之间（均匀值为 0.01）。</w:t>
      </w:r>
    </w:p>
    <w:p>
      <w:pPr>
        <w:pStyle w:val="Heading2"/>
      </w:pPr>
      <w:r>
        <w:t>4.4 先验、外部基准与文件级外推</w:t>
      </w:r>
    </w:p>
    <w:p>
      <w:pPr>
        <w:pStyle w:val="ListBullet"/>
      </w:pPr>
      <w:r>
        <w:rPr>
          <w:b/>
        </w:rPr>
        <w:t>类别先验是最大的单一效应</w:t>
      </w:r>
      <w:r>
        <w:t>：平衡控制总体（3 365 条、三类等量、测试 505 条）Macro-F1 0.961807、覆盖率 0.921，比自然先验的 0.889278 高 0.0725——比聚合规则差异大约两个数量级；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外部基准（三种子）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测试行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Macro-F1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准确率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平衡准确率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覆盖率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说明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NSL-KDD（原生标签）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22,544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0.514697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0.748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0.493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0.620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准确率靠多数类，平衡准确率接近随机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UNSW-NB15（原生标签）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82,332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0.493310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0.715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0.567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0.896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二分类偏置下的独立验证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N-BaIoT（IoT 僵尸网络）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27,000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0.999988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1.000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1.000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0.980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已饱和，用于检验机制惰性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文件级外推</w:t>
      </w:r>
      <w:r>
        <w:t>：把周一至周五的每个原始文件作为留出集时，已知类 Macro-F1 覆盖 0.3325–0.9997；文件之间的差异（同一模型、同一协议）比聚合规则差异大两到三个数量级，说明「换一天的数据」远比比「换聚合规则」重要。</w:t>
      </w:r>
    </w:p>
    <w:p>
      <w:pPr>
        <w:pStyle w:val="Heading2"/>
      </w:pPr>
      <w:r>
        <w:t>4.5 代价与开放集</w:t>
      </w:r>
    </w:p>
    <w:p>
      <w:pPr>
        <w:pStyle w:val="ListBullet"/>
      </w:pPr>
      <w:r>
        <w:rPr>
          <w:b/>
        </w:rPr>
        <w:t>训练与推理代价</w:t>
      </w:r>
      <w:r>
        <w:t>（同一台机器；训练与整批推理为十种子均值，模型体积与吞吐为单种子资源画像 S22）：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项目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条件加权 RCCF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等权 χ² 森林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倍数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训练耗时（截断总体，单种子平均）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93.26 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1.16 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×80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训练耗时（全语料，单种子平均）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4.1 h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85.3 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×175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模型体积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9.09 MB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2.21 MB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×4.1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批量吞吐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43,064 行/秒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200,276 行/秒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÷4.7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峰值内存增量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37.0 MB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78.3 MB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×0.47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代价敏感</w:t>
      </w:r>
      <w:r>
        <w:t>：误报漏报代价比从 1 提到 100 时，归一化期望代价 NEC 条件加权 0.00913 → 0.07260，等权森林 0.00867 → 0.06753——代价越高，条件加权越不划算。</w:t>
      </w:r>
    </w:p>
    <w:p>
      <w:pPr>
        <w:pStyle w:val="ListBullet"/>
      </w:pPr>
      <w:r>
        <w:rPr>
          <w:b/>
        </w:rPr>
        <w:t>开放集</w:t>
      </w:r>
      <w:r>
        <w:t>：以 PortScan、Infiltration、Heartbleed 为未知族时，条件分支 AUROC 0.643–0.694、未知类召回 0.0015–0.0396，等权森林为 0.919–0.948 与 0.057–0.374（风险门控把概率推向高置信区，削弱了拒绝所需的不确定性信号）。</w:t>
      </w:r>
    </w:p>
    <w:p>
      <w:pPr>
        <w:pStyle w:val="ListBullet"/>
      </w:pPr>
      <w:r>
        <w:rPr>
          <w:b/>
        </w:rPr>
        <w:t>外部基准（三种子）</w:t>
      </w:r>
      <w:r>
        <w:t>：NSL-KDD Macro-F1 0.514697、UNSW-NB15 0.493310；N-BaIoT 上所有模型 Macro-F1 ≥ 0.9998，该基准对流量特征分类器已饱和。</w:t>
      </w:r>
    </w:p>
    <w:p>
      <w:pPr>
        <w:pStyle w:val="Heading1"/>
      </w:pPr>
      <w:r>
        <w:t>五、贡献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一套可复用的泄漏受控协议</w:t>
      </w:r>
      <w:r>
        <w:t>：从原始文件到建模的每一阶段都有计数与产物记录；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一组可证伪的可辨识性条件</w:t>
      </w:r>
      <w:r>
        <w:t>：把「权重不改变预测」化为可逐行计算的判据（99.91% 样本可证）；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一张把协议效应与聚合规则差异分开量化的地图</w:t>
      </w:r>
      <w:r>
        <w:t>：协议效应高一个数量级，而模型族差异（XGBoost − 随机森林 +0.0078；MLP 落后 0.0916）又大于两者；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一份诚实的代价账</w:t>
      </w:r>
      <w:r>
        <w:t>：训练/推理开销、概率质量、开放集行为与延迟百分位分列报告。</w:t>
      </w:r>
    </w:p>
    <w:p>
      <w:r>
        <w:t>三个量级放在一起看最清楚（全语料、Macro-F1）：聚合规则差异 0.005533 &lt; 模型族差异 0.041（XGBoost 0.800255 vs 等权森林 0.759540） &lt; 协议效应 0.0725（类别先验）。换言之：</w:t>
      </w:r>
      <w:r>
        <w:rPr>
          <w:b/>
        </w:rPr>
        <w:t>先把协议做对，再谈换模型，最后才轮到换聚合规则</w:t>
      </w:r>
      <w:r>
        <w:t>。</w:t>
      </w:r>
    </w:p>
    <w:p>
      <w:pPr>
        <w:pStyle w:val="Heading1"/>
      </w:pPr>
      <w:r>
        <w:t>六、诚实的边界</w:t>
      </w:r>
    </w:p>
    <w:p>
      <w:pPr>
        <w:pStyle w:val="ListBullet"/>
      </w:pPr>
      <w:r>
        <w:t>研究总体是审计后的公开数据子集，</w:t>
      </w:r>
      <w:r>
        <w:rPr>
          <w:b/>
        </w:rPr>
        <w:t>不是生产流量</w:t>
      </w:r>
      <w:r>
        <w:t>；17 个语料都不提供同一测试床上的时间分离留出集；</w:t>
      </w:r>
    </w:p>
    <w:p>
      <w:pPr>
        <w:pStyle w:val="ListBullet"/>
      </w:pPr>
      <w:r>
        <w:t>文件级实验不是时间外推；开放集只覆盖三个未知族与一个显著性水平；</w:t>
      </w:r>
    </w:p>
    <w:p>
      <w:pPr>
        <w:pStyle w:val="ListBullet"/>
      </w:pPr>
      <w:r>
        <w:t>延迟测量不含抓包与特征提取；对抗性规避未评估（只做了随机扰动与特征屏蔽）；</w:t>
      </w:r>
    </w:p>
    <w:p>
      <w:pPr>
        <w:pStyle w:val="ListBullet"/>
      </w:pPr>
      <w:r>
        <w:t>等价边界 0.005 与 0.01 是</w:t>
      </w:r>
      <w:r>
        <w:rPr>
          <w:b/>
        </w:rPr>
        <w:t>研究者预设</w:t>
      </w:r>
      <w:r>
        <w:t>的，不是从数据里估出来的；两个边界都报告，读者可以按自己的容忍度读结论；</w:t>
      </w:r>
    </w:p>
    <w:p>
      <w:pPr>
        <w:pStyle w:val="ListBullet"/>
      </w:pPr>
      <w:r>
        <w:t>N-BaIoT 已饱和（所有模型 ≥ 0.9998），它检验机制惰性而不检验判别难度；把它当作性能证据是误读；</w:t>
      </w:r>
    </w:p>
    <w:p>
      <w:pPr>
        <w:pStyle w:val="ListBullet"/>
      </w:pPr>
      <w:r>
        <w:t>命题的前提是专家同质（同算法族、同特征预算）；对高度异质或强去相关的专家集合，结论不适用（这正是下一步要检验的方向）；</w:t>
      </w:r>
    </w:p>
    <w:p>
      <w:pPr>
        <w:pStyle w:val="ListBullet"/>
      </w:pPr>
      <w:r>
        <w:t>结论的范围是</w:t>
      </w:r>
      <w:r>
        <w:rPr>
          <w:b/>
        </w:rPr>
        <w:t>流特征 + 公开数据集</w:t>
      </w:r>
      <w:r>
        <w:t>，不主张生产可用性或算法优越性。</w:t>
      </w:r>
    </w:p>
    <w:p>
      <w:pPr>
        <w:pStyle w:val="Heading1"/>
      </w:pPr>
      <w:r>
        <w:t>七、如何快速读这篇稿子（15 分钟路线）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顺序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读什么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用多久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读完知道什么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摘要 + 图 1（研究设计）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 分钟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问题、对照、三档总体与主结论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4(a)/4(b) + 表 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 分钟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主结果、区间、TOST 与效应量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图 5/6 + 式 (2)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 分钟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为什么权重动不了预测（可逐行计算的上界）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第 6.2 节（稀释诊断）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 分钟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全语料反转的唯一解释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第 7 节（局限与效度威胁）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 分钟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结论不覆盖什么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需要细节时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按需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7（规模）、表 8（外部）、S01–S30 补充材料</w:t>
            </w:r>
          </w:p>
        </w:tc>
      </w:tr>
    </w:tbl>
    <w:p>
      <w:pPr>
        <w:spacing w:after="40"/>
      </w:pPr>
    </w:p>
    <w:p>
      <w:pPr>
        <w:pStyle w:val="Heading1"/>
      </w:pPr>
      <w:r>
        <w:t>八、术语速查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术语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含义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在本文哪里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数据泄漏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测试集信息进入训练，使指标虚高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第 2 节四类污染、第 3 节协议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条件加权 / 等权投票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按样本可靠性分配权重再融合 / 各专家等权平均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式 (1)、第 3.3 节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可辨识性条件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判断「权重是否可能改变预测」的前提，本文三条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式 (2)、命题 1–3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TOST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双单侧等价检验：差值必须被证明落在 ±Δ 内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第 4.2 节、表 5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稀释诊断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多路平均把某专家的偏差按 1/Q 摊进结果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式 (6)、第 6.2 节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Macro-F1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各类 F1 的未加权平均，不平衡数据的推荐主指标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全篇主指标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开放集 / 未知类召回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测试时出现训练未见类别时的拒识能力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第 6.4 节、S30</w:t>
            </w:r>
          </w:p>
        </w:tc>
      </w:tr>
    </w:tbl>
    <w:p>
      <w:pPr>
        <w:spacing w:after="40"/>
      </w:pPr>
    </w:p>
    <w:p>
      <w:pPr>
        <w:pStyle w:val="Heading1"/>
      </w:pPr>
      <w:r>
        <w:t>九、可复现材料</w:t>
      </w:r>
    </w:p>
    <w:p>
      <w:pPr>
        <w:pStyle w:val="ListBullet"/>
      </w:pPr>
      <w:r>
        <w:t>仓库（代码、逐样本预测、审计中间产物、图表生成脚本）：https://github.com/linran-muxue/leakage-controlled-nids-study（标签 v1.11.0）</w:t>
      </w:r>
    </w:p>
    <w:p>
      <w:pPr>
        <w:pStyle w:val="ListBullet"/>
      </w:pPr>
      <w:r>
        <w:t>补充材料 S01–S30：数据来源与校验和、逐种子指标、门控搜索、边距上界、多样性实验、外部基准、规模阶梯、开放集诊断等；</w:t>
      </w:r>
    </w:p>
    <w:p>
      <w:pPr>
        <w:pStyle w:val="ListBullet"/>
      </w:pPr>
      <w:r>
        <w:t>论文包：正式稿件（中英）、Highlights、投稿信、图形摘要、主表 CSV 与投稿文本；</w:t>
      </w:r>
    </w:p>
    <w:p>
      <w:pPr>
        <w:pStyle w:val="ListBullet"/>
      </w:pPr>
      <w:r>
        <w:t>汇报材料：</w:t>
      </w:r>
      <w:r>
        <w:rPr>
          <w:rFonts w:ascii="Consolas" w:hAnsi="Consolas"/>
        </w:rPr>
        <w:t>向老师汇报要点.md/.docx</w:t>
      </w:r>
      <w:r>
        <w:t xml:space="preserve">（三个时长版本、逐页讲稿、23 问预判问答、检查清单）与 </w:t>
      </w:r>
      <w:r>
        <w:rPr>
          <w:rFonts w:ascii="Consolas" w:hAnsi="Consolas"/>
        </w:rPr>
        <w:t>汇报用_论文介绍.pptx</w:t>
      </w:r>
      <w:r>
        <w:t>（12 页）；</w:t>
      </w:r>
    </w:p>
    <w:p>
      <w:pPr>
        <w:pStyle w:val="ListBullet"/>
      </w:pPr>
      <w:r>
        <w:t>一页全流程：</w:t>
      </w:r>
      <w:r>
        <w:rPr>
          <w:rFonts w:ascii="Consolas" w:hAnsi="Consolas"/>
        </w:rPr>
        <w:t>项目流程图.md/.docx</w:t>
      </w:r>
      <w:r>
        <w:t>（六阶段，含各阶段入口与产物）；</w:t>
      </w:r>
    </w:p>
    <w:p>
      <w:pPr>
        <w:pStyle w:val="ListBullet"/>
      </w:pPr>
      <w:r>
        <w:t>全部数字可由发布的逐样本预测重算（闸门 53 项自动复核）。</w:t>
      </w:r>
    </w:p>
    <w:p>
      <w:pPr>
        <w:pStyle w:val="Heading1"/>
      </w:pPr>
      <w:r>
        <w:t>十、引用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@article{rccf_leakage_controlled_nids,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title   = {Where Equivalence Ends: Population Construction, Not the Aggregation Rule, Determines Reported Ensemble Gains in Flow-Based Network Intrusion Detection},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author  = {&lt;待作者填写&gt;},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journal = {Journal of Information Security and Applications},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note    = {Code and evidence: https://github.com/linran-muxue/leakage-controlled-nids-study, release v1.11.0}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40"/>
      </w:pP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