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论文结构诊断与重构方案</w:t>
      </w:r>
    </w:p>
    <w:p>
      <w:r>
        <w:t xml:space="preserve">&gt; </w:t>
      </w:r>
      <w:r>
        <w:rPr>
          <w:b/>
        </w:rPr>
        <w:t>状态说明（2026-09-17 更新）</w:t>
      </w:r>
    </w:p>
    <w:p>
      <w:r>
        <w:t>&gt;</w:t>
      </w:r>
    </w:p>
    <w:p>
      <w:r>
        <w:t xml:space="preserve">&gt; 本文档是 </w:t>
      </w:r>
      <w:r>
        <w:rPr>
          <w:b/>
        </w:rPr>
        <w:t>2026-09-15 的审计快照</w:t>
      </w:r>
      <w:r>
        <w:t>，保留当时的判断、命令与优先级，便于追溯"为什么要做这些事"。</w:t>
      </w:r>
    </w:p>
    <w:p>
      <w:r>
        <w:t>&gt; 截至当前版本，快照中列出的 P0/P1 缺口与阶段 1–3 的任务已绝大部分完成（少数为作者信息与期刊模板这类外部输入）。</w:t>
      </w:r>
    </w:p>
    <w:p>
      <w:r>
        <w:t>&gt; 当前状态以下列文件为准，本文档不再单独代表最新进度：</w:t>
      </w:r>
    </w:p>
    <w:p>
      <w:r>
        <w:t>&gt;</w:t>
      </w:r>
    </w:p>
    <w:p>
      <w:r>
        <w:t xml:space="preserve">&gt; - </w:t>
      </w:r>
      <w:r>
        <w:rPr>
          <w:rFonts w:ascii="Consolas" w:hAnsi="Consolas"/>
        </w:rPr>
        <w:t>论文自查表.md</w:t>
      </w:r>
      <w:r>
        <w:t>：69 项检查，65 项通过、4 项部分通过、0 项缺失；含每项的证据文件。</w:t>
      </w:r>
    </w:p>
    <w:p>
      <w:r>
        <w:t xml:space="preserve">&gt; - </w:t>
      </w:r>
      <w:r>
        <w:rPr>
          <w:rFonts w:ascii="Consolas" w:hAnsi="Consolas"/>
        </w:rPr>
        <w:t>遗漏问题审查报告.md</w:t>
      </w:r>
      <w:r>
        <w:t>：第一至第二十一轮的逐轮记录、发现的问题与处置方式。</w:t>
      </w:r>
    </w:p>
    <w:p>
      <w:r>
        <w:t xml:space="preserve">&gt; - </w:t>
      </w:r>
      <w:r>
        <w:rPr>
          <w:rFonts w:ascii="Consolas" w:hAnsi="Consolas"/>
        </w:rPr>
        <w:t>English_SCI_Manuscript_v4.md</w:t>
      </w:r>
      <w:r>
        <w:t xml:space="preserve"> / </w:t>
      </w:r>
      <w:r>
        <w:rPr>
          <w:rFonts w:ascii="Consolas" w:hAnsi="Consolas"/>
        </w:rPr>
        <w:t>中文SCI论文_v4_重构版.md</w:t>
      </w:r>
      <w:r>
        <w:t>：正式稿件，v1.11.0。</w:t>
      </w:r>
    </w:p>
    <w:p>
      <w:r>
        <w:t>&gt;</w:t>
      </w:r>
    </w:p>
    <w:p>
      <w:r>
        <w:t>&gt; 建议阅读顺序：先看自查表结论 → 再看审查报告对应轮次 → 最后把本文档当作历史任务清单与命令参考。</w:t>
      </w:r>
    </w:p>
    <w:p>
      <w:r>
        <w:rPr>
          <w:b/>
        </w:rPr>
        <w:t>针对导师意见「思路太乱、结构不完整」的逐条回应</w:t>
      </w:r>
    </w:p>
    <w:p>
      <w:r>
        <w:t>版本：v4 重构说明 ｜ 日期：2026-09-15</w:t>
      </w:r>
    </w:p>
    <w:p>
      <w:pPr>
        <w:pStyle w:val="Heading1"/>
      </w:pPr>
      <w:r>
        <w:t>一、结论先说</w:t>
      </w:r>
    </w:p>
    <w:p>
      <w:r>
        <w:t>导师的两条意见都成立，而且可以量化。问题不在文字多少，而在于</w:t>
      </w:r>
      <w:r>
        <w:rPr>
          <w:b/>
        </w:rPr>
        <w:t>这篇稿子同时想当两篇论文</w:t>
      </w:r>
      <w:r>
        <w:t>。</w:t>
      </w:r>
    </w:p>
    <w:p>
      <w:pPr>
        <w:pStyle w:val="Heading2"/>
      </w:pPr>
      <w:r>
        <w:t>问题 1：一篇稿子里有两个互相冲突的主张</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4896"/>
        <w:gridCol w:w="4896"/>
      </w:tblGrid>
      <w:tr>
        <w:tc>
          <w:tcPr>
            <w:tcW w:type="dxa" w:w="4896"/>
          </w:tcPr>
          <w:p>
            <w:pPr>
              <w:spacing w:after="0"/>
            </w:pPr>
            <w:r>
              <w:rPr>
                <w:sz w:val="16"/>
              </w:rPr>
            </w:r>
            <w:r>
              <w:rPr>
                <w:b/>
                <w:sz w:val="16"/>
              </w:rPr>
              <w:t>稿件位置</w:t>
            </w:r>
          </w:p>
        </w:tc>
        <w:tc>
          <w:tcPr>
            <w:tcW w:type="dxa" w:w="4896"/>
          </w:tcPr>
          <w:p>
            <w:pPr>
              <w:spacing w:after="0"/>
            </w:pPr>
            <w:r>
              <w:rPr>
                <w:sz w:val="16"/>
              </w:rPr>
            </w:r>
            <w:r>
              <w:rPr>
                <w:b/>
                <w:sz w:val="16"/>
              </w:rPr>
              <w:t>它主张什么</w:t>
            </w:r>
          </w:p>
        </w:tc>
      </w:tr>
      <w:tr>
        <w:tc>
          <w:tcPr>
            <w:tcW w:type="dxa" w:w="4896"/>
          </w:tcPr>
          <w:p>
            <w:pPr>
              <w:spacing w:after="0"/>
            </w:pPr>
            <w:r>
              <w:rPr>
                <w:sz w:val="16"/>
              </w:rPr>
            </w:r>
            <w:r>
              <w:rPr>
                <w:sz w:val="16"/>
              </w:rPr>
              <w:t>题目、摘要、第 4 章</w:t>
            </w:r>
          </w:p>
        </w:tc>
        <w:tc>
          <w:tcPr>
            <w:tcW w:type="dxa" w:w="4896"/>
          </w:tcPr>
          <w:p>
            <w:pPr>
              <w:spacing w:after="0"/>
            </w:pPr>
            <w:r>
              <w:rPr>
                <w:sz w:val="16"/>
              </w:rPr>
            </w:r>
            <w:r>
              <w:rPr>
                <w:sz w:val="16"/>
              </w:rPr>
              <w:t>提出 Risk-Calibrated Conformal Forest（RCCF），是一个新的集成学习方法</w:t>
            </w:r>
          </w:p>
        </w:tc>
      </w:tr>
      <w:tr>
        <w:tc>
          <w:tcPr>
            <w:tcW w:type="dxa" w:w="4896"/>
          </w:tcPr>
          <w:p>
            <w:pPr>
              <w:spacing w:after="0"/>
            </w:pPr>
            <w:r>
              <w:rPr>
                <w:sz w:val="16"/>
              </w:rPr>
            </w:r>
            <w:r>
              <w:rPr>
                <w:sz w:val="16"/>
              </w:rPr>
              <w:t>第 5 章结果</w:t>
            </w:r>
          </w:p>
        </w:tc>
        <w:tc>
          <w:tcPr>
            <w:tcW w:type="dxa" w:w="4896"/>
          </w:tcPr>
          <w:p>
            <w:pPr>
              <w:spacing w:after="0"/>
            </w:pPr>
            <w:r>
              <w:rPr>
                <w:sz w:val="16"/>
              </w:rPr>
            </w:r>
            <w:r>
              <w:rPr>
                <w:sz w:val="16"/>
              </w:rPr>
              <w:t>RCCF 与等权随机森林几乎完全相同，而且更慢</w:t>
            </w:r>
          </w:p>
        </w:tc>
      </w:tr>
    </w:tbl>
    <w:p>
      <w:pPr>
        <w:spacing w:after="40"/>
      </w:pPr>
    </w:p>
    <w:p>
      <w:r>
        <w:t xml:space="preserve">支撑第二条的硬数据（来自 </w:t>
      </w:r>
      <w:r>
        <w:rPr>
          <w:rFonts w:ascii="Consolas" w:hAnsi="Consolas"/>
        </w:rPr>
        <w:t>results_rccf_evidence_v3b</w:t>
      </w:r>
      <w:r>
        <w:t>、</w:t>
      </w:r>
      <w:r>
        <w:rPr>
          <w:rFonts w:ascii="Consolas" w:hAnsi="Consolas"/>
        </w:rPr>
        <w:t>results_weight_mechanism_v3</w:t>
      </w:r>
      <w:r>
        <w:t>、</w:t>
      </w:r>
      <w:r>
        <w:rPr>
          <w:rFonts w:ascii="Consolas" w:hAnsi="Consolas"/>
        </w:rPr>
        <w:t>results_rccf_cic_natural_v3b</w:t>
      </w:r>
      <w:r>
        <w:t>）：</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4896"/>
        <w:gridCol w:w="4896"/>
      </w:tblGrid>
      <w:tr>
        <w:tc>
          <w:tcPr>
            <w:tcW w:type="dxa" w:w="4896"/>
          </w:tcPr>
          <w:p>
            <w:pPr>
              <w:spacing w:after="0"/>
            </w:pPr>
            <w:r>
              <w:rPr>
                <w:sz w:val="16"/>
              </w:rPr>
            </w:r>
            <w:r>
              <w:rPr>
                <w:b/>
                <w:sz w:val="16"/>
              </w:rPr>
              <w:t>证据</w:t>
            </w:r>
          </w:p>
        </w:tc>
        <w:tc>
          <w:tcPr>
            <w:tcW w:type="dxa" w:w="4896"/>
          </w:tcPr>
          <w:p>
            <w:pPr>
              <w:spacing w:after="0"/>
            </w:pPr>
            <w:r>
              <w:rPr>
                <w:sz w:val="16"/>
              </w:rPr>
            </w:r>
            <w:r>
              <w:rPr>
                <w:b/>
                <w:sz w:val="16"/>
              </w:rPr>
              <w:t>数值</w:t>
            </w:r>
          </w:p>
        </w:tc>
      </w:tr>
      <w:tr>
        <w:tc>
          <w:tcPr>
            <w:tcW w:type="dxa" w:w="4896"/>
          </w:tcPr>
          <w:p>
            <w:pPr>
              <w:spacing w:after="0"/>
            </w:pPr>
            <w:r>
              <w:rPr>
                <w:sz w:val="16"/>
              </w:rPr>
            </w:r>
            <w:r>
              <w:rPr>
                <w:sz w:val="16"/>
              </w:rPr>
              <w:t>RCCF − 等权卡方随机森林 Macro-F1 平均差</w:t>
            </w:r>
          </w:p>
        </w:tc>
        <w:tc>
          <w:tcPr>
            <w:tcW w:type="dxa" w:w="4896"/>
          </w:tcPr>
          <w:p>
            <w:pPr>
              <w:spacing w:after="0"/>
            </w:pPr>
            <w:r>
              <w:rPr>
                <w:sz w:val="16"/>
              </w:rPr>
            </w:r>
            <w:r>
              <w:rPr>
                <w:sz w:val="16"/>
              </w:rPr>
              <w:t>+0.00108</w:t>
            </w:r>
          </w:p>
        </w:tc>
      </w:tr>
      <w:tr>
        <w:tc>
          <w:tcPr>
            <w:tcW w:type="dxa" w:w="4896"/>
          </w:tcPr>
          <w:p>
            <w:pPr>
              <w:spacing w:after="0"/>
            </w:pPr>
            <w:r>
              <w:rPr>
                <w:sz w:val="16"/>
              </w:rPr>
            </w:r>
            <w:r>
              <w:rPr>
                <w:sz w:val="16"/>
              </w:rPr>
              <w:t>逐种子精确 McNemar 检验 p 值（Holm 校正后）</w:t>
            </w:r>
          </w:p>
        </w:tc>
        <w:tc>
          <w:tcPr>
            <w:tcW w:type="dxa" w:w="4896"/>
          </w:tcPr>
          <w:p>
            <w:pPr>
              <w:spacing w:after="0"/>
            </w:pPr>
            <w:r>
              <w:rPr>
                <w:sz w:val="16"/>
              </w:rPr>
            </w:r>
            <w:r>
              <w:rPr>
                <w:sz w:val="16"/>
              </w:rPr>
              <w:t>0.556</w:t>
            </w:r>
          </w:p>
        </w:tc>
      </w:tr>
      <w:tr>
        <w:tc>
          <w:tcPr>
            <w:tcW w:type="dxa" w:w="4896"/>
          </w:tcPr>
          <w:p>
            <w:pPr>
              <w:spacing w:after="0"/>
            </w:pPr>
            <w:r>
              <w:rPr>
                <w:sz w:val="16"/>
              </w:rPr>
            </w:r>
            <w:r>
              <w:rPr>
                <w:sz w:val="16"/>
              </w:rPr>
              <w:t>配对 Bootstrap 95% 区间</w:t>
            </w:r>
          </w:p>
        </w:tc>
        <w:tc>
          <w:tcPr>
            <w:tcW w:type="dxa" w:w="4896"/>
          </w:tcPr>
          <w:p>
            <w:pPr>
              <w:spacing w:after="0"/>
            </w:pPr>
            <w:r>
              <w:rPr>
                <w:sz w:val="16"/>
              </w:rPr>
            </w:r>
            <w:r>
              <w:rPr>
                <w:sz w:val="16"/>
              </w:rPr>
              <w:t>[−0.0043, +0.0076]（跨 0）</w:t>
            </w:r>
          </w:p>
        </w:tc>
      </w:tr>
      <w:tr>
        <w:tc>
          <w:tcPr>
            <w:tcW w:type="dxa" w:w="4896"/>
          </w:tcPr>
          <w:p>
            <w:pPr>
              <w:spacing w:after="0"/>
            </w:pPr>
            <w:r>
              <w:rPr>
                <w:sz w:val="16"/>
              </w:rPr>
            </w:r>
            <w:r>
              <w:rPr>
                <w:sz w:val="16"/>
              </w:rPr>
              <w:t>四专家在 505 条测试样本上的预测分歧条数</w:t>
            </w:r>
          </w:p>
        </w:tc>
        <w:tc>
          <w:tcPr>
            <w:tcW w:type="dxa" w:w="4896"/>
          </w:tcPr>
          <w:p>
            <w:pPr>
              <w:spacing w:after="0"/>
            </w:pPr>
            <w:r>
              <w:rPr>
                <w:sz w:val="16"/>
              </w:rPr>
            </w:r>
            <w:r>
              <w:rPr>
                <w:sz w:val="16"/>
              </w:rPr>
              <w:t>0</w:t>
            </w:r>
          </w:p>
        </w:tc>
      </w:tr>
      <w:tr>
        <w:tc>
          <w:tcPr>
            <w:tcW w:type="dxa" w:w="4896"/>
          </w:tcPr>
          <w:p>
            <w:pPr>
              <w:spacing w:after="0"/>
            </w:pPr>
            <w:r>
              <w:rPr>
                <w:sz w:val="16"/>
              </w:rPr>
            </w:r>
            <w:r>
              <w:rPr>
                <w:sz w:val="16"/>
              </w:rPr>
              <w:t>样本条件权重归一化熵（最大 1）</w:t>
            </w:r>
          </w:p>
        </w:tc>
        <w:tc>
          <w:tcPr>
            <w:tcW w:type="dxa" w:w="4896"/>
          </w:tcPr>
          <w:p>
            <w:pPr>
              <w:spacing w:after="0"/>
            </w:pPr>
            <w:r>
              <w:rPr>
                <w:sz w:val="16"/>
              </w:rPr>
            </w:r>
            <w:r>
              <w:rPr>
                <w:sz w:val="16"/>
              </w:rPr>
              <w:t>0.99998</w:t>
            </w:r>
          </w:p>
        </w:tc>
      </w:tr>
      <w:tr>
        <w:tc>
          <w:tcPr>
            <w:tcW w:type="dxa" w:w="4896"/>
          </w:tcPr>
          <w:p>
            <w:pPr>
              <w:spacing w:after="0"/>
            </w:pPr>
            <w:r>
              <w:rPr>
                <w:sz w:val="16"/>
              </w:rPr>
            </w:r>
            <w:r>
              <w:rPr>
                <w:sz w:val="16"/>
              </w:rPr>
              <w:t>训练耗时 RCCF vs 等权 RF</w:t>
            </w:r>
          </w:p>
        </w:tc>
        <w:tc>
          <w:tcPr>
            <w:tcW w:type="dxa" w:w="4896"/>
          </w:tcPr>
          <w:p>
            <w:pPr>
              <w:spacing w:after="0"/>
            </w:pPr>
            <w:r>
              <w:rPr>
                <w:sz w:val="16"/>
              </w:rPr>
            </w:r>
            <w:r>
              <w:rPr>
                <w:sz w:val="16"/>
              </w:rPr>
              <w:t>61.0 s vs 0.80 s</w:t>
            </w:r>
          </w:p>
        </w:tc>
      </w:tr>
      <w:tr>
        <w:tc>
          <w:tcPr>
            <w:tcW w:type="dxa" w:w="4896"/>
          </w:tcPr>
          <w:p>
            <w:pPr>
              <w:spacing w:after="0"/>
            </w:pPr>
            <w:r>
              <w:rPr>
                <w:sz w:val="16"/>
              </w:rPr>
            </w:r>
            <w:r>
              <w:rPr>
                <w:sz w:val="16"/>
              </w:rPr>
              <w:t>推理耗时 RCCF vs 等权 RF</w:t>
            </w:r>
          </w:p>
        </w:tc>
        <w:tc>
          <w:tcPr>
            <w:tcW w:type="dxa" w:w="4896"/>
          </w:tcPr>
          <w:p>
            <w:pPr>
              <w:spacing w:after="0"/>
            </w:pPr>
            <w:r>
              <w:rPr>
                <w:sz w:val="16"/>
              </w:rPr>
            </w:r>
            <w:r>
              <w:rPr>
                <w:sz w:val="16"/>
              </w:rPr>
              <w:t>0.152 s vs 0.041 s</w:t>
            </w:r>
          </w:p>
        </w:tc>
      </w:tr>
    </w:tbl>
    <w:p>
      <w:pPr>
        <w:spacing w:after="40"/>
      </w:pPr>
    </w:p>
    <w:p>
      <w:r>
        <w:t>一句话：题目承诺「新算法」，数据回答「该机制在本文协议下没有改变任何一条预测」。审稿人读到第 5 章必然要问：</w:t>
      </w:r>
      <w:r>
        <w:rPr>
          <w:b/>
        </w:rPr>
        <w:t>那么贡献到底是什么？</w:t>
      </w:r>
      <w:r>
        <w:t xml:space="preserve"> 现在的稿子没有正面回答。</w:t>
      </w:r>
    </w:p>
    <w:p>
      <w:pPr>
        <w:pStyle w:val="Heading2"/>
      </w:pPr>
      <w:r>
        <w:t>问题 2：章节是「内部审查清单」，不是「论证结构」</w:t>
      </w:r>
    </w:p>
    <w:p>
      <w:r>
        <w:t>下列小节直接来自项目内部的自我审查流程，被原样搬进正文：</w:t>
      </w:r>
    </w:p>
    <w:p>
      <w:pPr>
        <w:pStyle w:val="ListBullet"/>
      </w:pPr>
      <w:r>
        <w:t xml:space="preserve">4.7 </w:t>
      </w:r>
      <w:r>
        <w:rPr>
          <w:i/>
        </w:rPr>
        <w:t>When can the gate change a prediction?</w:t>
      </w:r>
    </w:p>
    <w:p>
      <w:pPr>
        <w:pStyle w:val="ListBullet"/>
      </w:pPr>
      <w:r>
        <w:t xml:space="preserve">4.8 </w:t>
      </w:r>
      <w:r>
        <w:rPr>
          <w:i/>
        </w:rPr>
        <w:t>Gate identifiability, limiting propositions, and cost-benefit criterion</w:t>
      </w:r>
    </w:p>
    <w:p>
      <w:pPr>
        <w:pStyle w:val="ListBullet"/>
      </w:pPr>
      <w:r>
        <w:t xml:space="preserve">5.7 </w:t>
      </w:r>
      <w:r>
        <w:rPr>
          <w:i/>
        </w:rPr>
        <w:t>Reviewer-facing synthesis: claim, evidence, and boundary</w:t>
      </w:r>
    </w:p>
    <w:p>
      <w:r>
        <w:t>这些标题对作者是提醒，对读者是噪音——读者读到的是「作者在自查」，而不是「作者在论证」。其中 4.7、4.8 的内容本身有价值（它解释了机制为什么不生效），但位置和标题都错了：应当改写为</w:t>
      </w:r>
      <w:r>
        <w:rPr>
          <w:b/>
        </w:rPr>
        <w:t>方法部分的可辨识性命题</w:t>
      </w:r>
      <w:r>
        <w:t>与</w:t>
      </w:r>
      <w:r>
        <w:rPr>
          <w:b/>
        </w:rPr>
        <w:t>讨论部分的机理解释</w:t>
      </w:r>
      <w:r>
        <w:t>。</w:t>
      </w:r>
    </w:p>
    <w:p>
      <w:r>
        <w:t>此外，中文稿「6 讨论」下面只剩 6.3，6.1 与 6.2 缺失，结构本身不闭合。</w:t>
      </w:r>
    </w:p>
    <w:p>
      <w:pPr>
        <w:pStyle w:val="Heading2"/>
      </w:pPr>
      <w:r>
        <w:t>问题 3：证据以表格堆砌，缺少叙事与可视化</w:t>
      </w:r>
    </w:p>
    <w:p>
      <w:r>
        <w:t xml:space="preserve">对 </w:t>
      </w:r>
      <w:r>
        <w:rPr>
          <w:rFonts w:ascii="Consolas" w:hAnsi="Consolas"/>
        </w:rPr>
        <w:t>results_paper_materials_v3/english_sci_manuscript_final.docx</w:t>
      </w:r>
      <w:r>
        <w:t xml:space="preserve"> 的实测：</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3264"/>
        <w:gridCol w:w="3264"/>
        <w:gridCol w:w="3264"/>
      </w:tblGrid>
      <w:tr>
        <w:tc>
          <w:tcPr>
            <w:tcW w:type="dxa" w:w="3264"/>
          </w:tcPr>
          <w:p>
            <w:pPr>
              <w:spacing w:after="0"/>
            </w:pPr>
            <w:r>
              <w:rPr>
                <w:sz w:val="16"/>
              </w:rPr>
            </w:r>
            <w:r>
              <w:rPr>
                <w:b/>
                <w:sz w:val="16"/>
              </w:rPr>
              <w:t>指标</w:t>
            </w:r>
          </w:p>
        </w:tc>
        <w:tc>
          <w:tcPr>
            <w:tcW w:type="dxa" w:w="3264"/>
          </w:tcPr>
          <w:p>
            <w:pPr>
              <w:spacing w:after="0"/>
            </w:pPr>
            <w:r>
              <w:rPr>
                <w:sz w:val="16"/>
              </w:rPr>
            </w:r>
            <w:r>
              <w:rPr>
                <w:b/>
                <w:sz w:val="16"/>
              </w:rPr>
              <w:t>当前值</w:t>
            </w:r>
          </w:p>
        </w:tc>
        <w:tc>
          <w:tcPr>
            <w:tcW w:type="dxa" w:w="3264"/>
          </w:tcPr>
          <w:p>
            <w:pPr>
              <w:spacing w:after="0"/>
            </w:pPr>
            <w:r>
              <w:rPr>
                <w:sz w:val="16"/>
              </w:rPr>
            </w:r>
            <w:r>
              <w:rPr>
                <w:b/>
                <w:sz w:val="16"/>
              </w:rPr>
              <w:t>同类 SCI 期刊常见值</w:t>
            </w:r>
          </w:p>
        </w:tc>
      </w:tr>
      <w:tr>
        <w:tc>
          <w:tcPr>
            <w:tcW w:type="dxa" w:w="3264"/>
          </w:tcPr>
          <w:p>
            <w:pPr>
              <w:spacing w:after="0"/>
            </w:pPr>
            <w:r>
              <w:rPr>
                <w:sz w:val="16"/>
              </w:rPr>
            </w:r>
            <w:r>
              <w:rPr>
                <w:sz w:val="16"/>
              </w:rPr>
              <w:t>正文词数</w:t>
            </w:r>
          </w:p>
        </w:tc>
        <w:tc>
          <w:tcPr>
            <w:tcW w:type="dxa" w:w="3264"/>
          </w:tcPr>
          <w:p>
            <w:pPr>
              <w:spacing w:after="0"/>
            </w:pPr>
            <w:r>
              <w:rPr>
                <w:sz w:val="16"/>
              </w:rPr>
            </w:r>
            <w:r>
              <w:rPr>
                <w:sz w:val="16"/>
              </w:rPr>
              <w:t>3 390</w:t>
            </w:r>
          </w:p>
        </w:tc>
        <w:tc>
          <w:tcPr>
            <w:tcW w:type="dxa" w:w="3264"/>
          </w:tcPr>
          <w:p>
            <w:pPr>
              <w:spacing w:after="0"/>
            </w:pPr>
            <w:r>
              <w:rPr>
                <w:sz w:val="16"/>
              </w:rPr>
            </w:r>
            <w:r>
              <w:rPr>
                <w:sz w:val="16"/>
              </w:rPr>
              <w:t>7 000–12 000</w:t>
            </w:r>
          </w:p>
        </w:tc>
      </w:tr>
      <w:tr>
        <w:tc>
          <w:tcPr>
            <w:tcW w:type="dxa" w:w="3264"/>
          </w:tcPr>
          <w:p>
            <w:pPr>
              <w:spacing w:after="0"/>
            </w:pPr>
            <w:r>
              <w:rPr>
                <w:sz w:val="16"/>
              </w:rPr>
            </w:r>
            <w:r>
              <w:rPr>
                <w:sz w:val="16"/>
              </w:rPr>
              <w:t>正文表格数</w:t>
            </w:r>
          </w:p>
        </w:tc>
        <w:tc>
          <w:tcPr>
            <w:tcW w:type="dxa" w:w="3264"/>
          </w:tcPr>
          <w:p>
            <w:pPr>
              <w:spacing w:after="0"/>
            </w:pPr>
            <w:r>
              <w:rPr>
                <w:sz w:val="16"/>
              </w:rPr>
            </w:r>
            <w:r>
              <w:rPr>
                <w:sz w:val="16"/>
              </w:rPr>
              <w:t>19</w:t>
            </w:r>
          </w:p>
        </w:tc>
        <w:tc>
          <w:tcPr>
            <w:tcW w:type="dxa" w:w="3264"/>
          </w:tcPr>
          <w:p>
            <w:pPr>
              <w:spacing w:after="0"/>
            </w:pPr>
            <w:r>
              <w:rPr>
                <w:sz w:val="16"/>
              </w:rPr>
            </w:r>
            <w:r>
              <w:rPr>
                <w:sz w:val="16"/>
              </w:rPr>
              <w:t>4–8</w:t>
            </w:r>
          </w:p>
        </w:tc>
      </w:tr>
      <w:tr>
        <w:tc>
          <w:tcPr>
            <w:tcW w:type="dxa" w:w="3264"/>
          </w:tcPr>
          <w:p>
            <w:pPr>
              <w:spacing w:after="0"/>
            </w:pPr>
            <w:r>
              <w:rPr>
                <w:sz w:val="16"/>
              </w:rPr>
            </w:r>
            <w:r>
              <w:rPr>
                <w:sz w:val="16"/>
              </w:rPr>
              <w:t>正文图数</w:t>
            </w:r>
          </w:p>
        </w:tc>
        <w:tc>
          <w:tcPr>
            <w:tcW w:type="dxa" w:w="3264"/>
          </w:tcPr>
          <w:p>
            <w:pPr>
              <w:spacing w:after="0"/>
            </w:pPr>
            <w:r>
              <w:rPr>
                <w:sz w:val="16"/>
              </w:rPr>
            </w:r>
            <w:r>
              <w:rPr>
                <w:sz w:val="16"/>
              </w:rPr>
              <w:t>0</w:t>
            </w:r>
          </w:p>
        </w:tc>
        <w:tc>
          <w:tcPr>
            <w:tcW w:type="dxa" w:w="3264"/>
          </w:tcPr>
          <w:p>
            <w:pPr>
              <w:spacing w:after="0"/>
            </w:pPr>
            <w:r>
              <w:rPr>
                <w:sz w:val="16"/>
              </w:rPr>
            </w:r>
            <w:r>
              <w:rPr>
                <w:sz w:val="16"/>
              </w:rPr>
              <w:t>8–12</w:t>
            </w:r>
          </w:p>
        </w:tc>
      </w:tr>
      <w:tr>
        <w:tc>
          <w:tcPr>
            <w:tcW w:type="dxa" w:w="3264"/>
          </w:tcPr>
          <w:p>
            <w:pPr>
              <w:spacing w:after="0"/>
            </w:pPr>
            <w:r>
              <w:rPr>
                <w:sz w:val="16"/>
              </w:rPr>
            </w:r>
            <w:r>
              <w:rPr>
                <w:sz w:val="16"/>
              </w:rPr>
              <w:t>参考文献条数</w:t>
            </w:r>
          </w:p>
        </w:tc>
        <w:tc>
          <w:tcPr>
            <w:tcW w:type="dxa" w:w="3264"/>
          </w:tcPr>
          <w:p>
            <w:pPr>
              <w:spacing w:after="0"/>
            </w:pPr>
            <w:r>
              <w:rPr>
                <w:sz w:val="16"/>
              </w:rPr>
            </w:r>
            <w:r>
              <w:rPr>
                <w:sz w:val="16"/>
              </w:rPr>
              <w:t>12</w:t>
            </w:r>
          </w:p>
        </w:tc>
        <w:tc>
          <w:tcPr>
            <w:tcW w:type="dxa" w:w="3264"/>
          </w:tcPr>
          <w:p>
            <w:pPr>
              <w:spacing w:after="0"/>
            </w:pPr>
            <w:r>
              <w:rPr>
                <w:sz w:val="16"/>
              </w:rPr>
            </w:r>
            <w:r>
              <w:rPr>
                <w:sz w:val="16"/>
              </w:rPr>
              <w:t>40–60</w:t>
            </w:r>
          </w:p>
        </w:tc>
      </w:tr>
    </w:tbl>
    <w:p>
      <w:pPr>
        <w:spacing w:after="40"/>
      </w:pPr>
    </w:p>
    <w:p>
      <w:r>
        <w:t>正文 19 张表、0 张图，读者没有可视化入口，只能逐行读数字——这是「读起来乱」的直接来源。摘要里同时出现 0.889955、0.887960、0.888870、0.961807 四个六位小数，却没有一张图说明它们的关系。</w:t>
      </w:r>
    </w:p>
    <w:p>
      <w:pPr>
        <w:pStyle w:val="Heading1"/>
      </w:pPr>
      <w:r>
        <w:t>二、根因：研究问题没有收敛成一个</w:t>
      </w:r>
    </w:p>
    <w:p>
      <w:r>
        <w:t>现有稿子并列回答了五个问题，彼此没有主次、没有因果链：</w:t>
      </w:r>
    </w:p>
    <w:p>
      <w:pPr>
        <w:pStyle w:val="ListNumber"/>
        <w:numPr>
          <w:ilvl w:val="0"/>
          <w:numId w:val="10"/>
        </w:numPr>
      </w:pPr>
      <w:r>
        <w:t>卡方特征选择有没有用？</w:t>
      </w:r>
    </w:p>
    <w:p>
      <w:pPr>
        <w:pStyle w:val="ListNumber"/>
        <w:numPr>
          <w:ilvl w:val="0"/>
          <w:numId w:val="10"/>
        </w:numPr>
      </w:pPr>
      <w:r>
        <w:t>加权投票有没有用？</w:t>
      </w:r>
    </w:p>
    <w:p>
      <w:pPr>
        <w:pStyle w:val="ListNumber"/>
        <w:numPr>
          <w:ilvl w:val="0"/>
          <w:numId w:val="10"/>
        </w:numPr>
      </w:pPr>
      <w:r>
        <w:t>概率校准好不好？</w:t>
      </w:r>
    </w:p>
    <w:p>
      <w:pPr>
        <w:pStyle w:val="ListNumber"/>
        <w:numPr>
          <w:ilvl w:val="0"/>
          <w:numId w:val="10"/>
        </w:numPr>
      </w:pPr>
      <w:r>
        <w:t>开放集能不能拒绝未知攻击？</w:t>
      </w:r>
    </w:p>
    <w:p>
      <w:pPr>
        <w:pStyle w:val="ListNumber"/>
        <w:numPr>
          <w:ilvl w:val="0"/>
          <w:numId w:val="10"/>
        </w:numPr>
      </w:pPr>
      <w:r>
        <w:t>换数据集还行不行？</w:t>
      </w:r>
    </w:p>
    <w:p>
      <w:r>
        <w:t>五个问题平铺，读者读完不知道主结论是什么。</w:t>
      </w:r>
      <w:r>
        <w:rPr>
          <w:b/>
        </w:rPr>
        <w:t>结构乱的根因是主张太多，不是章节太少。</w:t>
      </w:r>
    </w:p>
    <w:p>
      <w:pPr>
        <w:pStyle w:val="Heading1"/>
      </w:pPr>
      <w:r>
        <w:t>三、新的主线（一句话主张）</w:t>
      </w:r>
    </w:p>
    <w:p>
      <w:r>
        <w:t xml:space="preserve">&gt; </w:t>
      </w:r>
      <w:r>
        <w:rPr>
          <w:b/>
        </w:rPr>
        <w:t>在泄漏受控的条件下，样本条件集成加权对基于流特征的入侵检测几乎不产生可观测的判别增益；在已报告的差异中起主导作用的是评测协议（去重顺序、类别先验、划分与调参预算），而不是聚合策略本身。</w:t>
      </w:r>
    </w:p>
    <w:p>
      <w:r>
        <w:t>这条主线把现有的阴性结果从「缺陷」变成「论点」，并且给出正面贡献。支撑它的关键对照（同一批实验内部可比）：</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3264"/>
        <w:gridCol w:w="3264"/>
        <w:gridCol w:w="3264"/>
      </w:tblGrid>
      <w:tr>
        <w:tc>
          <w:tcPr>
            <w:tcW w:type="dxa" w:w="3264"/>
          </w:tcPr>
          <w:p>
            <w:pPr>
              <w:spacing w:after="0"/>
            </w:pPr>
            <w:r>
              <w:rPr>
                <w:sz w:val="16"/>
              </w:rPr>
            </w:r>
            <w:r>
              <w:rPr>
                <w:b/>
                <w:sz w:val="16"/>
              </w:rPr>
              <w:t>差异来源</w:t>
            </w:r>
          </w:p>
        </w:tc>
        <w:tc>
          <w:tcPr>
            <w:tcW w:type="dxa" w:w="3264"/>
          </w:tcPr>
          <w:p>
            <w:pPr>
              <w:spacing w:after="0"/>
            </w:pPr>
            <w:r>
              <w:rPr>
                <w:sz w:val="16"/>
              </w:rPr>
            </w:r>
            <w:r>
              <w:rPr>
                <w:b/>
                <w:sz w:val="16"/>
              </w:rPr>
              <w:t>量级</w:t>
            </w:r>
          </w:p>
        </w:tc>
        <w:tc>
          <w:tcPr>
            <w:tcW w:type="dxa" w:w="3264"/>
          </w:tcPr>
          <w:p>
            <w:pPr>
              <w:spacing w:after="0"/>
            </w:pPr>
            <w:r>
              <w:rPr>
                <w:sz w:val="16"/>
              </w:rPr>
            </w:r>
            <w:r>
              <w:rPr>
                <w:b/>
                <w:sz w:val="16"/>
              </w:rPr>
              <w:t>数据来源</w:t>
            </w:r>
          </w:p>
        </w:tc>
      </w:tr>
      <w:tr>
        <w:tc>
          <w:tcPr>
            <w:tcW w:type="dxa" w:w="3264"/>
          </w:tcPr>
          <w:p>
            <w:pPr>
              <w:spacing w:after="0"/>
            </w:pPr>
            <w:r>
              <w:rPr>
                <w:sz w:val="16"/>
              </w:rPr>
            </w:r>
            <w:r>
              <w:rPr>
                <w:sz w:val="16"/>
              </w:rPr>
              <w:t>聚合策略（RCCF − 等权 RF）</w:t>
            </w:r>
          </w:p>
        </w:tc>
        <w:tc>
          <w:tcPr>
            <w:tcW w:type="dxa" w:w="3264"/>
          </w:tcPr>
          <w:p>
            <w:pPr>
              <w:spacing w:after="0"/>
            </w:pPr>
            <w:r>
              <w:rPr>
                <w:sz w:val="16"/>
              </w:rPr>
            </w:r>
            <w:r>
              <w:rPr>
                <w:sz w:val="16"/>
              </w:rPr>
              <w:t>+0.0011 Macro-F1，不显著</w:t>
            </w:r>
          </w:p>
        </w:tc>
        <w:tc>
          <w:tcPr>
            <w:tcW w:type="dxa" w:w="3264"/>
          </w:tcPr>
          <w:p>
            <w:pPr>
              <w:spacing w:after="0"/>
            </w:pPr>
            <w:r>
              <w:rPr>
                <w:sz w:val="16"/>
              </w:rPr>
            </w:r>
            <w:r>
              <w:rPr>
                <w:rFonts w:ascii="Consolas" w:hAnsi="Consolas"/>
                <w:sz w:val="16"/>
              </w:rPr>
              <w:t>results_rccf_evidence_v3b</w:t>
            </w:r>
          </w:p>
        </w:tc>
      </w:tr>
      <w:tr>
        <w:tc>
          <w:tcPr>
            <w:tcW w:type="dxa" w:w="3264"/>
          </w:tcPr>
          <w:p>
            <w:pPr>
              <w:spacing w:after="0"/>
            </w:pPr>
            <w:r>
              <w:rPr>
                <w:sz w:val="16"/>
              </w:rPr>
            </w:r>
            <w:r>
              <w:rPr>
                <w:sz w:val="16"/>
              </w:rPr>
              <w:t>特征视图（全特征 RF − 卡方 RF）</w:t>
            </w:r>
          </w:p>
        </w:tc>
        <w:tc>
          <w:tcPr>
            <w:tcW w:type="dxa" w:w="3264"/>
          </w:tcPr>
          <w:p>
            <w:pPr>
              <w:spacing w:after="0"/>
            </w:pPr>
            <w:r>
              <w:rPr>
                <w:sz w:val="16"/>
              </w:rPr>
            </w:r>
            <w:r>
              <w:rPr>
                <w:sz w:val="16"/>
              </w:rPr>
              <w:t>−0.0009 Macro-F1</w:t>
            </w:r>
          </w:p>
        </w:tc>
        <w:tc>
          <w:tcPr>
            <w:tcW w:type="dxa" w:w="3264"/>
          </w:tcPr>
          <w:p>
            <w:pPr>
              <w:spacing w:after="0"/>
            </w:pPr>
            <w:r>
              <w:rPr>
                <w:sz w:val="16"/>
              </w:rPr>
            </w:r>
            <w:r>
              <w:rPr>
                <w:rFonts w:ascii="Consolas" w:hAnsi="Consolas"/>
                <w:sz w:val="16"/>
              </w:rPr>
              <w:t>results_cic_natural_baselines_v3b</w:t>
            </w:r>
          </w:p>
        </w:tc>
      </w:tr>
      <w:tr>
        <w:tc>
          <w:tcPr>
            <w:tcW w:type="dxa" w:w="3264"/>
          </w:tcPr>
          <w:p>
            <w:pPr>
              <w:spacing w:after="0"/>
            </w:pPr>
            <w:r>
              <w:rPr>
                <w:sz w:val="16"/>
              </w:rPr>
            </w:r>
            <w:r>
              <w:rPr>
                <w:sz w:val="16"/>
              </w:rPr>
              <w:t>类别先验（平衡 0.9618 vs 自然 0.8900）</w:t>
            </w:r>
          </w:p>
        </w:tc>
        <w:tc>
          <w:tcPr>
            <w:tcW w:type="dxa" w:w="3264"/>
          </w:tcPr>
          <w:p>
            <w:pPr>
              <w:spacing w:after="0"/>
            </w:pPr>
            <w:r>
              <w:rPr>
                <w:sz w:val="16"/>
              </w:rPr>
            </w:r>
            <w:r>
              <w:rPr>
                <w:b/>
                <w:sz w:val="16"/>
              </w:rPr>
              <w:t>+0.072</w:t>
            </w:r>
          </w:p>
        </w:tc>
        <w:tc>
          <w:tcPr>
            <w:tcW w:type="dxa" w:w="3264"/>
          </w:tcPr>
          <w:p>
            <w:pPr>
              <w:spacing w:after="0"/>
            </w:pPr>
            <w:r>
              <w:rPr>
                <w:sz w:val="16"/>
              </w:rPr>
            </w:r>
            <w:r>
              <w:rPr>
                <w:rFonts w:ascii="Consolas" w:hAnsi="Consolas"/>
                <w:sz w:val="16"/>
              </w:rPr>
              <w:t>results_rccf_cic_balanced_v3b</w:t>
            </w:r>
            <w:r>
              <w:rPr>
                <w:sz w:val="16"/>
              </w:rPr>
              <w:t xml:space="preserve"> / </w:t>
            </w:r>
            <w:r>
              <w:rPr>
                <w:rFonts w:ascii="Consolas" w:hAnsi="Consolas"/>
                <w:sz w:val="16"/>
              </w:rPr>
              <w:t>results_rccf_cic_natural_v3b</w:t>
            </w:r>
          </w:p>
        </w:tc>
      </w:tr>
      <w:tr>
        <w:tc>
          <w:tcPr>
            <w:tcW w:type="dxa" w:w="3264"/>
          </w:tcPr>
          <w:p>
            <w:pPr>
              <w:spacing w:after="0"/>
            </w:pPr>
            <w:r>
              <w:rPr>
                <w:sz w:val="16"/>
              </w:rPr>
            </w:r>
            <w:r>
              <w:rPr>
                <w:sz w:val="16"/>
              </w:rPr>
              <w:t>去重顺序（先划分后训练侧去重 vs 全局先去重）</w:t>
            </w:r>
          </w:p>
        </w:tc>
        <w:tc>
          <w:tcPr>
            <w:tcW w:type="dxa" w:w="3264"/>
          </w:tcPr>
          <w:p>
            <w:pPr>
              <w:spacing w:after="0"/>
            </w:pPr>
            <w:r>
              <w:rPr>
                <w:sz w:val="16"/>
              </w:rPr>
            </w:r>
            <w:r>
              <w:rPr>
                <w:sz w:val="16"/>
              </w:rPr>
              <w:t>至多 +0.0060</w:t>
            </w:r>
          </w:p>
        </w:tc>
        <w:tc>
          <w:tcPr>
            <w:tcW w:type="dxa" w:w="3264"/>
          </w:tcPr>
          <w:p>
            <w:pPr>
              <w:spacing w:after="0"/>
            </w:pPr>
            <w:r>
              <w:rPr>
                <w:sz w:val="16"/>
              </w:rPr>
            </w:r>
            <w:r>
              <w:rPr>
                <w:rFonts w:ascii="Consolas" w:hAnsi="Consolas"/>
                <w:sz w:val="16"/>
              </w:rPr>
              <w:t>results_protocol_sensitivity_v4</w:t>
            </w:r>
          </w:p>
        </w:tc>
      </w:tr>
      <w:tr>
        <w:tc>
          <w:tcPr>
            <w:tcW w:type="dxa" w:w="3264"/>
          </w:tcPr>
          <w:p>
            <w:pPr>
              <w:spacing w:after="0"/>
            </w:pPr>
            <w:r>
              <w:rPr>
                <w:sz w:val="16"/>
              </w:rPr>
            </w:r>
            <w:r>
              <w:rPr>
                <w:sz w:val="16"/>
              </w:rPr>
              <w:t>文件外推压力测试（同一模型换测试文件）</w:t>
            </w:r>
          </w:p>
        </w:tc>
        <w:tc>
          <w:tcPr>
            <w:tcW w:type="dxa" w:w="3264"/>
          </w:tcPr>
          <w:p>
            <w:pPr>
              <w:spacing w:after="0"/>
            </w:pPr>
            <w:r>
              <w:rPr>
                <w:sz w:val="16"/>
              </w:rPr>
            </w:r>
            <w:r>
              <w:rPr>
                <w:sz w:val="16"/>
              </w:rPr>
              <w:t>0.33 – 1.00 Macro-F1</w:t>
            </w:r>
          </w:p>
        </w:tc>
        <w:tc>
          <w:tcPr>
            <w:tcW w:type="dxa" w:w="3264"/>
          </w:tcPr>
          <w:p>
            <w:pPr>
              <w:spacing w:after="0"/>
            </w:pPr>
            <w:r>
              <w:rPr>
                <w:sz w:val="16"/>
              </w:rPr>
            </w:r>
            <w:r>
              <w:rPr>
                <w:rFonts w:ascii="Consolas" w:hAnsi="Consolas"/>
                <w:sz w:val="16"/>
              </w:rPr>
              <w:t>results_file_external_generalization_v3b</w:t>
            </w:r>
          </w:p>
        </w:tc>
      </w:tr>
      <w:tr>
        <w:tc>
          <w:tcPr>
            <w:tcW w:type="dxa" w:w="3264"/>
          </w:tcPr>
          <w:p>
            <w:pPr>
              <w:spacing w:after="0"/>
            </w:pPr>
            <w:r>
              <w:rPr>
                <w:sz w:val="16"/>
              </w:rPr>
            </w:r>
            <w:r>
              <w:rPr>
                <w:sz w:val="16"/>
              </w:rPr>
              <w:t>强基线（XGBoost − 等权 RF，5×3 嵌套 CV）</w:t>
            </w:r>
          </w:p>
        </w:tc>
        <w:tc>
          <w:tcPr>
            <w:tcW w:type="dxa" w:w="3264"/>
          </w:tcPr>
          <w:p>
            <w:pPr>
              <w:spacing w:after="0"/>
            </w:pPr>
            <w:r>
              <w:rPr>
                <w:sz w:val="16"/>
              </w:rPr>
            </w:r>
            <w:r>
              <w:rPr>
                <w:sz w:val="16"/>
              </w:rPr>
              <w:t>+0.0078，区间不跨 0</w:t>
            </w:r>
          </w:p>
        </w:tc>
        <w:tc>
          <w:tcPr>
            <w:tcW w:type="dxa" w:w="3264"/>
          </w:tcPr>
          <w:p>
            <w:pPr>
              <w:spacing w:after="0"/>
            </w:pPr>
            <w:r>
              <w:rPr>
                <w:sz w:val="16"/>
              </w:rPr>
            </w:r>
            <w:r>
              <w:rPr>
                <w:rFonts w:ascii="Consolas" w:hAnsi="Consolas"/>
                <w:sz w:val="16"/>
              </w:rPr>
              <w:t>results_nested_modelwise_v1_5x3</w:t>
            </w:r>
          </w:p>
        </w:tc>
      </w:tr>
    </w:tbl>
    <w:p>
      <w:pPr>
        <w:spacing w:after="40"/>
      </w:pPr>
    </w:p>
    <w:p>
      <w:r>
        <w:rPr>
          <w:b/>
        </w:rPr>
        <w:t>聚合策略造成的差异，被协议与数据划分造成的差异淹没</w:t>
      </w:r>
      <w:r>
        <w:t>——这就是论文要讲的唯一一件事。</w:t>
      </w:r>
    </w:p>
    <w:p>
      <w:pPr>
        <w:pStyle w:val="Heading1"/>
      </w:pPr>
      <w:r>
        <w:t>四、题目与摘要的调整方向</w:t>
      </w:r>
    </w:p>
    <w:p>
      <w:r>
        <w:rPr>
          <w:b/>
        </w:rPr>
        <w:t>原题</w:t>
      </w:r>
      <w:r>
        <w:t>：Risk-Calibrated Conformal Forests for Auditable Network Intrusion Detection: A Leakage-Controlled Multi-Dataset Evaluation</w:t>
      </w:r>
    </w:p>
    <w:p>
      <w:r>
        <w:t>问题：把 RCCF 放在标题首位，等于承诺算法优势，与结果自相矛盾。</w:t>
      </w:r>
    </w:p>
    <w:p>
      <w:r>
        <w:rPr>
          <w:b/>
        </w:rPr>
        <w:t>建议新题（主选）</w:t>
      </w:r>
    </w:p>
    <w:p>
      <w:pPr>
        <w:pStyle w:val="ListBullet"/>
      </w:pPr>
      <w:r>
        <w:t>英文：</w:t>
      </w:r>
      <w:r>
        <w:rPr>
          <w:i/>
        </w:rPr>
        <w:t>Protocol Sensitivity Dominates Model Choice in Flow-Based Network Intrusion Detection: A Leakage-Controlled Study of Conditional Ensemble Weighting</w:t>
      </w:r>
    </w:p>
    <w:p>
      <w:pPr>
        <w:pStyle w:val="ListBullet"/>
      </w:pPr>
      <w:r>
        <w:t>中文：</w:t>
      </w:r>
      <w:r>
        <w:rPr>
          <w:b/>
        </w:rPr>
        <w:t>协议敏感性主导模型选择：面向条件集成加权的泄漏受控网络入侵检测研究</w:t>
      </w:r>
    </w:p>
    <w:p>
      <w:r>
        <w:rPr>
          <w:b/>
        </w:rPr>
        <w:t>备选（若导师希望保留方法名）</w:t>
      </w:r>
    </w:p>
    <w:p>
      <w:pPr>
        <w:pStyle w:val="ListBullet"/>
      </w:pPr>
      <w:r>
        <w:t>英文：</w:t>
      </w:r>
      <w:r>
        <w:rPr>
          <w:i/>
        </w:rPr>
        <w:t>Conditional Ensemble Weighting for Network Intrusion Detection: Identifiability Limits and Protocol Sensitivity</w:t>
      </w:r>
    </w:p>
    <w:p>
      <w:pPr>
        <w:pStyle w:val="ListBullet"/>
      </w:pPr>
      <w:r>
        <w:t>中文：面向网络入侵检测的条件集成加权：可辨识性边界与协议敏感性</w:t>
      </w:r>
    </w:p>
    <w:p>
      <w:r>
        <w:rPr>
          <w:b/>
        </w:rPr>
        <w:t>摘要五段式骨架</w:t>
      </w:r>
    </w:p>
    <w:p>
      <w:pPr>
        <w:pStyle w:val="ListNumber"/>
        <w:numPr>
          <w:ilvl w:val="0"/>
          <w:numId w:val="11"/>
        </w:numPr>
      </w:pPr>
      <w:r>
        <w:t>背景（1 句）：公开入侵检测数据集上报告的模型差异，对去重、泄漏与类别先验高度敏感。</w:t>
      </w:r>
    </w:p>
    <w:p>
      <w:pPr>
        <w:pStyle w:val="ListNumber"/>
        <w:numPr>
          <w:ilvl w:val="0"/>
          <w:numId w:val="11"/>
        </w:numPr>
      </w:pPr>
      <w:r>
        <w:t>问题（1 句）：样本条件集成加权被广泛假设为有效，但缺少泄漏受控下的可辨识性检验。</w:t>
      </w:r>
    </w:p>
    <w:p>
      <w:pPr>
        <w:pStyle w:val="ListNumber"/>
        <w:numPr>
          <w:ilvl w:val="0"/>
          <w:numId w:val="11"/>
        </w:numPr>
      </w:pPr>
      <w:r>
        <w:t>方法与协议（2 句）：给出泄漏受控协议与两个总体定义；给出三个命题，说明门控在什么条件下必然不改变预测。</w:t>
      </w:r>
    </w:p>
    <w:p>
      <w:pPr>
        <w:pStyle w:val="ListNumber"/>
        <w:numPr>
          <w:ilvl w:val="0"/>
          <w:numId w:val="11"/>
        </w:numPr>
      </w:pPr>
      <w:r>
        <w:t>结果（3 句）：主结果不显著（Δ=0.0011，p=0.556，区间跨 0，分歧 0 条，权重熵 0.99998）；协议变化带来 0.07 量级差异；外部数据 0.33–1.00。</w:t>
      </w:r>
    </w:p>
    <w:p>
      <w:pPr>
        <w:pStyle w:val="ListNumber"/>
        <w:numPr>
          <w:ilvl w:val="0"/>
          <w:numId w:val="11"/>
        </w:numPr>
      </w:pPr>
      <w:r>
        <w:t>结论（1 句）：贡献是协议、可辨识性边界与失效地图，不是新的最优分类器。</w:t>
      </w:r>
    </w:p>
    <w:p>
      <w:pPr>
        <w:pStyle w:val="Heading1"/>
      </w:pPr>
      <w:r>
        <w:t>五、新目录结构（研究问题驱动）</w:t>
      </w:r>
    </w:p>
    <w:p>
      <w:r>
        <w:t>原则：</w:t>
      </w:r>
      <w:r>
        <w:rPr>
          <w:b/>
        </w:rPr>
        <w:t>每一节只回答一个问题；每个结果小节对应一个研究问题；方法里出现的每个机制，在结果里必须有对应的检验。</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1958"/>
        <w:gridCol w:w="1958"/>
        <w:gridCol w:w="1958"/>
        <w:gridCol w:w="1958"/>
        <w:gridCol w:w="1958"/>
      </w:tblGrid>
      <w:tr>
        <w:tc>
          <w:tcPr>
            <w:tcW w:type="dxa" w:w="1958"/>
          </w:tcPr>
          <w:p>
            <w:pPr>
              <w:spacing w:after="0"/>
            </w:pPr>
            <w:r>
              <w:rPr>
                <w:sz w:val="16"/>
              </w:rPr>
            </w:r>
            <w:r>
              <w:rPr>
                <w:b/>
                <w:sz w:val="16"/>
              </w:rPr>
              <w:t>章节</w:t>
            </w:r>
          </w:p>
        </w:tc>
        <w:tc>
          <w:tcPr>
            <w:tcW w:type="dxa" w:w="1958"/>
          </w:tcPr>
          <w:p>
            <w:pPr>
              <w:spacing w:after="0"/>
            </w:pPr>
            <w:r>
              <w:rPr>
                <w:sz w:val="16"/>
              </w:rPr>
            </w:r>
            <w:r>
              <w:rPr>
                <w:b/>
                <w:sz w:val="16"/>
              </w:rPr>
              <w:t>回答的问题</w:t>
            </w:r>
          </w:p>
        </w:tc>
        <w:tc>
          <w:tcPr>
            <w:tcW w:type="dxa" w:w="1958"/>
          </w:tcPr>
          <w:p>
            <w:pPr>
              <w:spacing w:after="0"/>
            </w:pPr>
            <w:r>
              <w:rPr>
                <w:sz w:val="16"/>
              </w:rPr>
            </w:r>
            <w:r>
              <w:rPr>
                <w:b/>
                <w:sz w:val="16"/>
              </w:rPr>
              <w:t>预计字数（中）</w:t>
            </w:r>
          </w:p>
        </w:tc>
        <w:tc>
          <w:tcPr>
            <w:tcW w:type="dxa" w:w="1958"/>
          </w:tcPr>
          <w:p>
            <w:pPr>
              <w:spacing w:after="0"/>
            </w:pPr>
            <w:r>
              <w:rPr>
                <w:sz w:val="16"/>
              </w:rPr>
            </w:r>
            <w:r>
              <w:rPr>
                <w:b/>
                <w:sz w:val="16"/>
              </w:rPr>
              <w:t>主图</w:t>
            </w:r>
          </w:p>
        </w:tc>
        <w:tc>
          <w:tcPr>
            <w:tcW w:type="dxa" w:w="1958"/>
          </w:tcPr>
          <w:p>
            <w:pPr>
              <w:spacing w:after="0"/>
            </w:pPr>
            <w:r>
              <w:rPr>
                <w:sz w:val="16"/>
              </w:rPr>
            </w:r>
            <w:r>
              <w:rPr>
                <w:b/>
                <w:sz w:val="16"/>
              </w:rPr>
              <w:t>主表</w:t>
            </w:r>
          </w:p>
        </w:tc>
      </w:tr>
      <w:tr>
        <w:tc>
          <w:tcPr>
            <w:tcW w:type="dxa" w:w="1958"/>
          </w:tcPr>
          <w:p>
            <w:pPr>
              <w:spacing w:after="0"/>
            </w:pPr>
            <w:r>
              <w:rPr>
                <w:sz w:val="16"/>
              </w:rPr>
            </w:r>
            <w:r>
              <w:rPr>
                <w:sz w:val="16"/>
              </w:rPr>
              <w:t>摘要</w:t>
            </w:r>
          </w:p>
        </w:tc>
        <w:tc>
          <w:tcPr>
            <w:tcW w:type="dxa" w:w="1958"/>
          </w:tcPr>
          <w:p>
            <w:pPr>
              <w:spacing w:after="0"/>
            </w:pPr>
            <w:r>
              <w:rPr>
                <w:sz w:val="16"/>
              </w:rPr>
            </w:r>
            <w:r>
              <w:rPr>
                <w:sz w:val="16"/>
              </w:rPr>
              <w:t>—</w:t>
            </w:r>
          </w:p>
        </w:tc>
        <w:tc>
          <w:tcPr>
            <w:tcW w:type="dxa" w:w="1958"/>
          </w:tcPr>
          <w:p>
            <w:pPr>
              <w:spacing w:after="0"/>
            </w:pPr>
            <w:r>
              <w:rPr>
                <w:sz w:val="16"/>
              </w:rPr>
            </w:r>
            <w:r>
              <w:rPr>
                <w:sz w:val="16"/>
              </w:rPr>
              <w:t>400</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r>
      <w:tr>
        <w:tc>
          <w:tcPr>
            <w:tcW w:type="dxa" w:w="1958"/>
          </w:tcPr>
          <w:p>
            <w:pPr>
              <w:spacing w:after="0"/>
            </w:pPr>
            <w:r>
              <w:rPr>
                <w:sz w:val="16"/>
              </w:rPr>
            </w:r>
            <w:r>
              <w:rPr>
                <w:sz w:val="16"/>
              </w:rPr>
              <w:t>1 引言</w:t>
            </w:r>
          </w:p>
        </w:tc>
        <w:tc>
          <w:tcPr>
            <w:tcW w:type="dxa" w:w="1958"/>
          </w:tcPr>
          <w:p>
            <w:pPr>
              <w:spacing w:after="0"/>
            </w:pPr>
            <w:r>
              <w:rPr>
                <w:sz w:val="16"/>
              </w:rPr>
            </w:r>
            <w:r>
              <w:rPr>
                <w:sz w:val="16"/>
              </w:rPr>
              <w:t>为什么重要？三个未经检验的假设是什么？</w:t>
            </w:r>
          </w:p>
        </w:tc>
        <w:tc>
          <w:tcPr>
            <w:tcW w:type="dxa" w:w="1958"/>
          </w:tcPr>
          <w:p>
            <w:pPr>
              <w:spacing w:after="0"/>
            </w:pPr>
            <w:r>
              <w:rPr>
                <w:sz w:val="16"/>
              </w:rPr>
            </w:r>
            <w:r>
              <w:rPr>
                <w:sz w:val="16"/>
              </w:rPr>
              <w:t>1 800</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r>
      <w:tr>
        <w:tc>
          <w:tcPr>
            <w:tcW w:type="dxa" w:w="1958"/>
          </w:tcPr>
          <w:p>
            <w:pPr>
              <w:spacing w:after="0"/>
            </w:pPr>
            <w:r>
              <w:rPr>
                <w:sz w:val="16"/>
              </w:rPr>
            </w:r>
            <w:r>
              <w:rPr>
                <w:sz w:val="16"/>
              </w:rPr>
              <w:t>2 相关工作</w:t>
            </w:r>
          </w:p>
        </w:tc>
        <w:tc>
          <w:tcPr>
            <w:tcW w:type="dxa" w:w="1958"/>
          </w:tcPr>
          <w:p>
            <w:pPr>
              <w:spacing w:after="0"/>
            </w:pPr>
            <w:r>
              <w:rPr>
                <w:sz w:val="16"/>
              </w:rPr>
            </w:r>
            <w:r>
              <w:rPr>
                <w:sz w:val="16"/>
              </w:rPr>
              <w:t>前人在哪些环节没有控制住？空白在哪？</w:t>
            </w:r>
          </w:p>
        </w:tc>
        <w:tc>
          <w:tcPr>
            <w:tcW w:type="dxa" w:w="1958"/>
          </w:tcPr>
          <w:p>
            <w:pPr>
              <w:spacing w:after="0"/>
            </w:pPr>
            <w:r>
              <w:rPr>
                <w:sz w:val="16"/>
              </w:rPr>
            </w:r>
            <w:r>
              <w:rPr>
                <w:sz w:val="16"/>
              </w:rPr>
              <w:t>1 800</w:t>
            </w:r>
          </w:p>
        </w:tc>
        <w:tc>
          <w:tcPr>
            <w:tcW w:type="dxa" w:w="1958"/>
          </w:tcPr>
          <w:p>
            <w:pPr>
              <w:spacing w:after="0"/>
            </w:pPr>
            <w:r>
              <w:rPr>
                <w:sz w:val="16"/>
              </w:rPr>
            </w:r>
            <w:r>
              <w:rPr>
                <w:sz w:val="16"/>
              </w:rPr>
              <w:t>—</w:t>
            </w:r>
          </w:p>
        </w:tc>
        <w:tc>
          <w:tcPr>
            <w:tcW w:type="dxa" w:w="1958"/>
          </w:tcPr>
          <w:p>
            <w:pPr>
              <w:spacing w:after="0"/>
            </w:pPr>
            <w:r>
              <w:rPr>
                <w:sz w:val="16"/>
              </w:rPr>
            </w:r>
            <w:r>
              <w:rPr>
                <w:sz w:val="16"/>
              </w:rPr>
              <w:t>表 1</w:t>
            </w:r>
          </w:p>
        </w:tc>
      </w:tr>
      <w:tr>
        <w:tc>
          <w:tcPr>
            <w:tcW w:type="dxa" w:w="1958"/>
          </w:tcPr>
          <w:p>
            <w:pPr>
              <w:spacing w:after="0"/>
            </w:pPr>
            <w:r>
              <w:rPr>
                <w:sz w:val="16"/>
              </w:rPr>
            </w:r>
            <w:r>
              <w:rPr>
                <w:sz w:val="16"/>
              </w:rPr>
              <w:t>3 数据、来源与协议</w:t>
            </w:r>
          </w:p>
        </w:tc>
        <w:tc>
          <w:tcPr>
            <w:tcW w:type="dxa" w:w="1958"/>
          </w:tcPr>
          <w:p>
            <w:pPr>
              <w:spacing w:after="0"/>
            </w:pPr>
            <w:r>
              <w:rPr>
                <w:sz w:val="16"/>
              </w:rPr>
            </w:r>
            <w:r>
              <w:rPr>
                <w:sz w:val="16"/>
              </w:rPr>
              <w:t>数据如何被定义、审计、划分？</w:t>
            </w:r>
          </w:p>
        </w:tc>
        <w:tc>
          <w:tcPr>
            <w:tcW w:type="dxa" w:w="1958"/>
          </w:tcPr>
          <w:p>
            <w:pPr>
              <w:spacing w:after="0"/>
            </w:pPr>
            <w:r>
              <w:rPr>
                <w:sz w:val="16"/>
              </w:rPr>
            </w:r>
            <w:r>
              <w:rPr>
                <w:sz w:val="16"/>
              </w:rPr>
              <w:t>2 200</w:t>
            </w:r>
          </w:p>
        </w:tc>
        <w:tc>
          <w:tcPr>
            <w:tcW w:type="dxa" w:w="1958"/>
          </w:tcPr>
          <w:p>
            <w:pPr>
              <w:spacing w:after="0"/>
            </w:pPr>
            <w:r>
              <w:rPr>
                <w:sz w:val="16"/>
              </w:rPr>
            </w:r>
            <w:r>
              <w:rPr>
                <w:sz w:val="16"/>
              </w:rPr>
              <w:t>图 1、图 2</w:t>
            </w:r>
          </w:p>
        </w:tc>
        <w:tc>
          <w:tcPr>
            <w:tcW w:type="dxa" w:w="1958"/>
          </w:tcPr>
          <w:p>
            <w:pPr>
              <w:spacing w:after="0"/>
            </w:pPr>
            <w:r>
              <w:rPr>
                <w:sz w:val="16"/>
              </w:rPr>
            </w:r>
            <w:r>
              <w:rPr>
                <w:sz w:val="16"/>
              </w:rPr>
              <w:t>表 2、表 3</w:t>
            </w:r>
          </w:p>
        </w:tc>
      </w:tr>
      <w:tr>
        <w:tc>
          <w:tcPr>
            <w:tcW w:type="dxa" w:w="1958"/>
          </w:tcPr>
          <w:p>
            <w:pPr>
              <w:spacing w:after="0"/>
            </w:pPr>
            <w:r>
              <w:rPr>
                <w:sz w:val="16"/>
              </w:rPr>
            </w:r>
            <w:r>
              <w:rPr>
                <w:sz w:val="16"/>
              </w:rPr>
              <w:t>4 方法</w:t>
            </w:r>
          </w:p>
        </w:tc>
        <w:tc>
          <w:tcPr>
            <w:tcW w:type="dxa" w:w="1958"/>
          </w:tcPr>
          <w:p>
            <w:pPr>
              <w:spacing w:after="0"/>
            </w:pPr>
            <w:r>
              <w:rPr>
                <w:sz w:val="16"/>
              </w:rPr>
            </w:r>
            <w:r>
              <w:rPr>
                <w:sz w:val="16"/>
              </w:rPr>
              <w:t>检验对象是什么？它在什么条件下必然无效？</w:t>
            </w:r>
          </w:p>
        </w:tc>
        <w:tc>
          <w:tcPr>
            <w:tcW w:type="dxa" w:w="1958"/>
          </w:tcPr>
          <w:p>
            <w:pPr>
              <w:spacing w:after="0"/>
            </w:pPr>
            <w:r>
              <w:rPr>
                <w:sz w:val="16"/>
              </w:rPr>
            </w:r>
            <w:r>
              <w:rPr>
                <w:sz w:val="16"/>
              </w:rPr>
              <w:t>2 000</w:t>
            </w:r>
          </w:p>
        </w:tc>
        <w:tc>
          <w:tcPr>
            <w:tcW w:type="dxa" w:w="1958"/>
          </w:tcPr>
          <w:p>
            <w:pPr>
              <w:spacing w:after="0"/>
            </w:pPr>
            <w:r>
              <w:rPr>
                <w:sz w:val="16"/>
              </w:rPr>
            </w:r>
            <w:r>
              <w:rPr>
                <w:sz w:val="16"/>
              </w:rPr>
              <w:t>图 3</w:t>
            </w:r>
          </w:p>
        </w:tc>
        <w:tc>
          <w:tcPr>
            <w:tcW w:type="dxa" w:w="1958"/>
          </w:tcPr>
          <w:p>
            <w:pPr>
              <w:spacing w:after="0"/>
            </w:pPr>
            <w:r>
              <w:rPr>
                <w:sz w:val="16"/>
              </w:rPr>
            </w:r>
            <w:r>
              <w:rPr>
                <w:sz w:val="16"/>
              </w:rPr>
              <w:t>表 4</w:t>
            </w:r>
          </w:p>
        </w:tc>
      </w:tr>
      <w:tr>
        <w:tc>
          <w:tcPr>
            <w:tcW w:type="dxa" w:w="1958"/>
          </w:tcPr>
          <w:p>
            <w:pPr>
              <w:spacing w:after="0"/>
            </w:pPr>
            <w:r>
              <w:rPr>
                <w:sz w:val="16"/>
              </w:rPr>
            </w:r>
            <w:r>
              <w:rPr>
                <w:sz w:val="16"/>
              </w:rPr>
              <w:t>5 结果</w:t>
            </w:r>
          </w:p>
        </w:tc>
        <w:tc>
          <w:tcPr>
            <w:tcW w:type="dxa" w:w="1958"/>
          </w:tcPr>
          <w:p>
            <w:pPr>
              <w:spacing w:after="0"/>
            </w:pPr>
            <w:r>
              <w:rPr>
                <w:sz w:val="16"/>
              </w:rPr>
            </w:r>
            <w:r>
              <w:rPr>
                <w:sz w:val="16"/>
              </w:rPr>
              <w:t>RQ1–RQ4 分别回答什么？</w:t>
            </w:r>
          </w:p>
        </w:tc>
        <w:tc>
          <w:tcPr>
            <w:tcW w:type="dxa" w:w="1958"/>
          </w:tcPr>
          <w:p>
            <w:pPr>
              <w:spacing w:after="0"/>
            </w:pPr>
            <w:r>
              <w:rPr>
                <w:sz w:val="16"/>
              </w:rPr>
            </w:r>
            <w:r>
              <w:rPr>
                <w:sz w:val="16"/>
              </w:rPr>
              <w:t>3 500</w:t>
            </w:r>
          </w:p>
        </w:tc>
        <w:tc>
          <w:tcPr>
            <w:tcW w:type="dxa" w:w="1958"/>
          </w:tcPr>
          <w:p>
            <w:pPr>
              <w:spacing w:after="0"/>
            </w:pPr>
            <w:r>
              <w:rPr>
                <w:sz w:val="16"/>
              </w:rPr>
            </w:r>
            <w:r>
              <w:rPr>
                <w:sz w:val="16"/>
              </w:rPr>
              <w:t>图 4–图 9</w:t>
            </w:r>
          </w:p>
        </w:tc>
        <w:tc>
          <w:tcPr>
            <w:tcW w:type="dxa" w:w="1958"/>
          </w:tcPr>
          <w:p>
            <w:pPr>
              <w:spacing w:after="0"/>
            </w:pPr>
            <w:r>
              <w:rPr>
                <w:sz w:val="16"/>
              </w:rPr>
            </w:r>
            <w:r>
              <w:rPr>
                <w:sz w:val="16"/>
              </w:rPr>
              <w:t>表 5、表 6</w:t>
            </w:r>
          </w:p>
        </w:tc>
      </w:tr>
      <w:tr>
        <w:tc>
          <w:tcPr>
            <w:tcW w:type="dxa" w:w="1958"/>
          </w:tcPr>
          <w:p>
            <w:pPr>
              <w:spacing w:after="0"/>
            </w:pPr>
            <w:r>
              <w:rPr>
                <w:sz w:val="16"/>
              </w:rPr>
            </w:r>
            <w:r>
              <w:rPr>
                <w:sz w:val="16"/>
              </w:rPr>
              <w:t>6 讨论</w:t>
            </w:r>
          </w:p>
        </w:tc>
        <w:tc>
          <w:tcPr>
            <w:tcW w:type="dxa" w:w="1958"/>
          </w:tcPr>
          <w:p>
            <w:pPr>
              <w:spacing w:after="0"/>
            </w:pPr>
            <w:r>
              <w:rPr>
                <w:sz w:val="16"/>
              </w:rPr>
            </w:r>
            <w:r>
              <w:rPr>
                <w:sz w:val="16"/>
              </w:rPr>
              <w:t>为什么失效？对文献与实践意味着什么？</w:t>
            </w:r>
          </w:p>
        </w:tc>
        <w:tc>
          <w:tcPr>
            <w:tcW w:type="dxa" w:w="1958"/>
          </w:tcPr>
          <w:p>
            <w:pPr>
              <w:spacing w:after="0"/>
            </w:pPr>
            <w:r>
              <w:rPr>
                <w:sz w:val="16"/>
              </w:rPr>
            </w:r>
            <w:r>
              <w:rPr>
                <w:sz w:val="16"/>
              </w:rPr>
              <w:t>1 800</w:t>
            </w:r>
          </w:p>
        </w:tc>
        <w:tc>
          <w:tcPr>
            <w:tcW w:type="dxa" w:w="1958"/>
          </w:tcPr>
          <w:p>
            <w:pPr>
              <w:spacing w:after="0"/>
            </w:pPr>
            <w:r>
              <w:rPr>
                <w:sz w:val="16"/>
              </w:rPr>
            </w:r>
            <w:r>
              <w:rPr>
                <w:sz w:val="16"/>
              </w:rPr>
              <w:t>—</w:t>
            </w:r>
          </w:p>
        </w:tc>
        <w:tc>
          <w:tcPr>
            <w:tcW w:type="dxa" w:w="1958"/>
          </w:tcPr>
          <w:p>
            <w:pPr>
              <w:spacing w:after="0"/>
            </w:pPr>
            <w:r>
              <w:rPr>
                <w:sz w:val="16"/>
              </w:rPr>
            </w:r>
            <w:r>
              <w:rPr>
                <w:sz w:val="16"/>
              </w:rPr>
              <w:t>表 7</w:t>
            </w:r>
          </w:p>
        </w:tc>
      </w:tr>
      <w:tr>
        <w:tc>
          <w:tcPr>
            <w:tcW w:type="dxa" w:w="1958"/>
          </w:tcPr>
          <w:p>
            <w:pPr>
              <w:spacing w:after="0"/>
            </w:pPr>
            <w:r>
              <w:rPr>
                <w:sz w:val="16"/>
              </w:rPr>
            </w:r>
            <w:r>
              <w:rPr>
                <w:sz w:val="16"/>
              </w:rPr>
              <w:t>7 结论</w:t>
            </w:r>
          </w:p>
        </w:tc>
        <w:tc>
          <w:tcPr>
            <w:tcW w:type="dxa" w:w="1958"/>
          </w:tcPr>
          <w:p>
            <w:pPr>
              <w:spacing w:after="0"/>
            </w:pPr>
            <w:r>
              <w:rPr>
                <w:sz w:val="16"/>
              </w:rPr>
            </w:r>
            <w:r>
              <w:rPr>
                <w:sz w:val="16"/>
              </w:rPr>
              <w:t>一句话结论与边界</w:t>
            </w:r>
          </w:p>
        </w:tc>
        <w:tc>
          <w:tcPr>
            <w:tcW w:type="dxa" w:w="1958"/>
          </w:tcPr>
          <w:p>
            <w:pPr>
              <w:spacing w:after="0"/>
            </w:pPr>
            <w:r>
              <w:rPr>
                <w:sz w:val="16"/>
              </w:rPr>
            </w:r>
            <w:r>
              <w:rPr>
                <w:sz w:val="16"/>
              </w:rPr>
              <w:t>600</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r>
      <w:tr>
        <w:tc>
          <w:tcPr>
            <w:tcW w:type="dxa" w:w="1958"/>
          </w:tcPr>
          <w:p>
            <w:pPr>
              <w:spacing w:after="0"/>
            </w:pPr>
            <w:r>
              <w:rPr>
                <w:sz w:val="16"/>
              </w:rPr>
            </w:r>
            <w:r>
              <w:rPr>
                <w:sz w:val="16"/>
              </w:rPr>
              <w:t>声明与参考文献</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c>
          <w:tcPr>
            <w:tcW w:type="dxa" w:w="1958"/>
          </w:tcPr>
          <w:p>
            <w:pPr>
              <w:spacing w:after="0"/>
            </w:pPr>
            <w:r>
              <w:rPr>
                <w:sz w:val="16"/>
              </w:rPr>
            </w:r>
            <w:r>
              <w:rPr>
                <w:sz w:val="16"/>
              </w:rPr>
              <w:t>—</w:t>
            </w:r>
          </w:p>
        </w:tc>
      </w:tr>
      <w:tr>
        <w:tc>
          <w:tcPr>
            <w:tcW w:type="dxa" w:w="1958"/>
          </w:tcPr>
          <w:p>
            <w:pPr>
              <w:spacing w:after="0"/>
            </w:pPr>
            <w:r>
              <w:rPr>
                <w:sz w:val="16"/>
              </w:rPr>
            </w:r>
            <w:r>
              <w:rPr>
                <w:sz w:val="16"/>
              </w:rPr>
              <w:t>补充材料</w:t>
            </w:r>
          </w:p>
        </w:tc>
        <w:tc>
          <w:tcPr>
            <w:tcW w:type="dxa" w:w="1958"/>
          </w:tcPr>
          <w:p>
            <w:pPr>
              <w:spacing w:after="0"/>
            </w:pPr>
            <w:r>
              <w:rPr>
                <w:sz w:val="16"/>
              </w:rPr>
            </w:r>
            <w:r>
              <w:rPr>
                <w:sz w:val="16"/>
              </w:rPr>
              <w:t>全部细节证据</w:t>
            </w:r>
          </w:p>
        </w:tc>
        <w:tc>
          <w:tcPr>
            <w:tcW w:type="dxa" w:w="1958"/>
          </w:tcPr>
          <w:p>
            <w:pPr>
              <w:spacing w:after="0"/>
            </w:pPr>
            <w:r>
              <w:rPr>
                <w:sz w:val="16"/>
              </w:rPr>
            </w:r>
            <w:r>
              <w:rPr>
                <w:sz w:val="16"/>
              </w:rPr>
              <w:t>—</w:t>
            </w:r>
          </w:p>
        </w:tc>
        <w:tc>
          <w:tcPr>
            <w:tcW w:type="dxa" w:w="1958"/>
          </w:tcPr>
          <w:p>
            <w:pPr>
              <w:spacing w:after="0"/>
            </w:pPr>
            <w:r>
              <w:rPr>
                <w:sz w:val="16"/>
              </w:rPr>
            </w:r>
            <w:r>
              <w:rPr>
                <w:sz w:val="16"/>
              </w:rPr>
              <w:t>S 图</w:t>
            </w:r>
          </w:p>
        </w:tc>
        <w:tc>
          <w:tcPr>
            <w:tcW w:type="dxa" w:w="1958"/>
          </w:tcPr>
          <w:p>
            <w:pPr>
              <w:spacing w:after="0"/>
            </w:pPr>
            <w:r>
              <w:rPr>
                <w:sz w:val="16"/>
              </w:rPr>
            </w:r>
            <w:r>
              <w:rPr>
                <w:sz w:val="16"/>
              </w:rPr>
              <w:t>S1–S15</w:t>
            </w:r>
          </w:p>
        </w:tc>
      </w:tr>
    </w:tbl>
    <w:p>
      <w:pPr>
        <w:spacing w:after="40"/>
      </w:pPr>
    </w:p>
    <w:p>
      <w:pPr>
        <w:pStyle w:val="Heading2"/>
      </w:pPr>
      <w:r>
        <w:t>研究问题与结果小节的对应</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4896"/>
        <w:gridCol w:w="4896"/>
      </w:tblGrid>
      <w:tr>
        <w:tc>
          <w:tcPr>
            <w:tcW w:type="dxa" w:w="4896"/>
          </w:tcPr>
          <w:p>
            <w:pPr>
              <w:spacing w:after="0"/>
            </w:pPr>
            <w:r>
              <w:rPr>
                <w:sz w:val="16"/>
              </w:rPr>
            </w:r>
            <w:r>
              <w:rPr>
                <w:b/>
                <w:sz w:val="16"/>
              </w:rPr>
              <w:t>研究问题</w:t>
            </w:r>
          </w:p>
        </w:tc>
        <w:tc>
          <w:tcPr>
            <w:tcW w:type="dxa" w:w="4896"/>
          </w:tcPr>
          <w:p>
            <w:pPr>
              <w:spacing w:after="0"/>
            </w:pPr>
            <w:r>
              <w:rPr>
                <w:sz w:val="16"/>
              </w:rPr>
            </w:r>
            <w:r>
              <w:rPr>
                <w:b/>
                <w:sz w:val="16"/>
              </w:rPr>
              <w:t>结果小节</w:t>
            </w:r>
          </w:p>
        </w:tc>
      </w:tr>
      <w:tr>
        <w:tc>
          <w:tcPr>
            <w:tcW w:type="dxa" w:w="4896"/>
          </w:tcPr>
          <w:p>
            <w:pPr>
              <w:spacing w:after="0"/>
            </w:pPr>
            <w:r>
              <w:rPr>
                <w:sz w:val="16"/>
              </w:rPr>
            </w:r>
            <w:r>
              <w:rPr>
                <w:sz w:val="16"/>
              </w:rPr>
              <w:t>RQ1 特征筛选是否损害判别性能？</w:t>
            </w:r>
          </w:p>
        </w:tc>
        <w:tc>
          <w:tcPr>
            <w:tcW w:type="dxa" w:w="4896"/>
          </w:tcPr>
          <w:p>
            <w:pPr>
              <w:spacing w:after="0"/>
            </w:pPr>
            <w:r>
              <w:rPr>
                <w:sz w:val="16"/>
              </w:rPr>
            </w:r>
            <w:r>
              <w:rPr>
                <w:sz w:val="16"/>
              </w:rPr>
              <w:t>5.1</w:t>
            </w:r>
          </w:p>
        </w:tc>
      </w:tr>
      <w:tr>
        <w:tc>
          <w:tcPr>
            <w:tcW w:type="dxa" w:w="4896"/>
          </w:tcPr>
          <w:p>
            <w:pPr>
              <w:spacing w:after="0"/>
            </w:pPr>
            <w:r>
              <w:rPr>
                <w:sz w:val="16"/>
              </w:rPr>
            </w:r>
            <w:r>
              <w:rPr>
                <w:sz w:val="16"/>
              </w:rPr>
              <w:t>RQ2 样本条件加权是否优于等权投票？</w:t>
            </w:r>
          </w:p>
        </w:tc>
        <w:tc>
          <w:tcPr>
            <w:tcW w:type="dxa" w:w="4896"/>
          </w:tcPr>
          <w:p>
            <w:pPr>
              <w:spacing w:after="0"/>
            </w:pPr>
            <w:r>
              <w:rPr>
                <w:sz w:val="16"/>
              </w:rPr>
            </w:r>
            <w:r>
              <w:rPr>
                <w:sz w:val="16"/>
              </w:rPr>
              <w:t>5.2 主结果 + 5.3 机制诊断</w:t>
            </w:r>
          </w:p>
        </w:tc>
      </w:tr>
      <w:tr>
        <w:tc>
          <w:tcPr>
            <w:tcW w:type="dxa" w:w="4896"/>
          </w:tcPr>
          <w:p>
            <w:pPr>
              <w:spacing w:after="0"/>
            </w:pPr>
            <w:r>
              <w:rPr>
                <w:sz w:val="16"/>
              </w:rPr>
            </w:r>
            <w:r>
              <w:rPr>
                <w:sz w:val="16"/>
              </w:rPr>
              <w:t>RQ3 结论对协议选择是否稳健？</w:t>
            </w:r>
          </w:p>
        </w:tc>
        <w:tc>
          <w:tcPr>
            <w:tcW w:type="dxa" w:w="4896"/>
          </w:tcPr>
          <w:p>
            <w:pPr>
              <w:spacing w:after="0"/>
            </w:pPr>
            <w:r>
              <w:rPr>
                <w:sz w:val="16"/>
              </w:rPr>
            </w:r>
            <w:r>
              <w:rPr>
                <w:sz w:val="16"/>
              </w:rPr>
              <w:t>5.4 去重顺序、两个总体、重复划分、嵌套 CV、强基线</w:t>
            </w:r>
          </w:p>
        </w:tc>
      </w:tr>
      <w:tr>
        <w:tc>
          <w:tcPr>
            <w:tcW w:type="dxa" w:w="4896"/>
          </w:tcPr>
          <w:p>
            <w:pPr>
              <w:spacing w:after="0"/>
            </w:pPr>
            <w:r>
              <w:rPr>
                <w:sz w:val="16"/>
              </w:rPr>
            </w:r>
            <w:r>
              <w:rPr>
                <w:sz w:val="16"/>
              </w:rPr>
              <w:t>RQ4 结论能否跨出 CIC 数据？</w:t>
            </w:r>
          </w:p>
        </w:tc>
        <w:tc>
          <w:tcPr>
            <w:tcW w:type="dxa" w:w="4896"/>
          </w:tcPr>
          <w:p>
            <w:pPr>
              <w:spacing w:after="0"/>
            </w:pPr>
            <w:r>
              <w:rPr>
                <w:sz w:val="16"/>
              </w:rPr>
            </w:r>
            <w:r>
              <w:rPr>
                <w:sz w:val="16"/>
              </w:rPr>
              <w:t>5.5 NSL-KDD、UNSW-NB15、文件外压力测试</w:t>
            </w:r>
          </w:p>
        </w:tc>
      </w:tr>
      <w:tr>
        <w:tc>
          <w:tcPr>
            <w:tcW w:type="dxa" w:w="4896"/>
          </w:tcPr>
          <w:p>
            <w:pPr>
              <w:spacing w:after="0"/>
            </w:pPr>
            <w:r>
              <w:rPr>
                <w:sz w:val="16"/>
              </w:rPr>
            </w:r>
            <w:r>
              <w:rPr>
                <w:sz w:val="16"/>
              </w:rPr>
              <w:t>次生指标（校准 / 鲁棒性 / 延迟 / 开放集）</w:t>
            </w:r>
          </w:p>
        </w:tc>
        <w:tc>
          <w:tcPr>
            <w:tcW w:type="dxa" w:w="4896"/>
          </w:tcPr>
          <w:p>
            <w:pPr>
              <w:spacing w:after="0"/>
            </w:pPr>
            <w:r>
              <w:rPr>
                <w:sz w:val="16"/>
              </w:rPr>
            </w:r>
            <w:r>
              <w:rPr>
                <w:sz w:val="16"/>
              </w:rPr>
              <w:t>5.6，标注为诊断性</w:t>
            </w:r>
          </w:p>
        </w:tc>
      </w:tr>
    </w:tbl>
    <w:p>
      <w:pPr>
        <w:spacing w:after="40"/>
      </w:pPr>
    </w:p>
    <w:p>
      <w:pPr>
        <w:pStyle w:val="Heading2"/>
      </w:pPr>
      <w:r>
        <w:t>三个必须补上的结构缺口</w:t>
      </w:r>
    </w:p>
    <w:p>
      <w:pPr>
        <w:pStyle w:val="ListNumber"/>
        <w:numPr>
          <w:ilvl w:val="0"/>
          <w:numId w:val="12"/>
        </w:numPr>
      </w:pPr>
      <w:r>
        <w:rPr>
          <w:b/>
        </w:rPr>
        <w:t>相关工作必须有 2.1–2.5</w:t>
      </w:r>
      <w:r>
        <w:t>，不能只有一张对比表。需分别覆盖：公开数据集缺陷、特征选择与泄漏、集成聚合与加权、概率质量与开放集、本文定位。</w:t>
      </w:r>
    </w:p>
    <w:p>
      <w:pPr>
        <w:pStyle w:val="ListNumber"/>
        <w:numPr>
          <w:ilvl w:val="0"/>
          <w:numId w:val="12"/>
        </w:numPr>
      </w:pPr>
      <w:r>
        <w:rPr>
          <w:b/>
        </w:rPr>
        <w:t>讨论必须有 6.1–6.5</w:t>
      </w:r>
      <w:r>
        <w:t>：机制解释、对文献报告的解释、实践决策准则、评测规范建议、局限与效度威胁。</w:t>
      </w:r>
    </w:p>
    <w:p>
      <w:pPr>
        <w:pStyle w:val="ListNumber"/>
        <w:numPr>
          <w:ilvl w:val="0"/>
          <w:numId w:val="12"/>
        </w:numPr>
      </w:pPr>
      <w:r>
        <w:rPr>
          <w:b/>
        </w:rPr>
        <w:t>方法里补「可辨识性分析」专节</w:t>
      </w:r>
      <w:r>
        <w:t>，把原 4.7/4.8 的内容改写为三个正式命题：</w:t>
      </w:r>
    </w:p>
    <w:p>
      <w:pPr>
        <w:pStyle w:val="ListBullet"/>
      </w:pPr>
      <w:r>
        <w:t>命题 1（凸组合不变性）：若所有专家的后验概率相同，任何凸权重给出相同预测。</w:t>
      </w:r>
    </w:p>
    <w:p>
      <w:pPr>
        <w:pStyle w:val="ListBullet"/>
      </w:pPr>
      <w:r>
        <w:t>命题 2（边距支配）：若最小边距大于权重扰动可造成的最大概率移动，硬标签不变。</w:t>
      </w:r>
    </w:p>
    <w:p>
      <w:pPr>
        <w:pStyle w:val="ListBullet"/>
      </w:pPr>
      <w:r>
        <w:t>命题 3（权重坍缩）：若风险模型输出近似相等，加权退化为等权平均，判据是归一化权重熵趋近 1。</w:t>
      </w:r>
    </w:p>
    <w:p>
      <w:pPr>
        <w:pStyle w:val="Heading1"/>
      </w:pPr>
      <w:r>
        <w:t>六、图表重新分配</w:t>
      </w:r>
    </w:p>
    <w:p>
      <w:pPr>
        <w:pStyle w:val="Heading2"/>
      </w:pPr>
      <w:r>
        <w:t>主表（7 张，全部进正文）</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3264"/>
        <w:gridCol w:w="3264"/>
        <w:gridCol w:w="3264"/>
      </w:tblGrid>
      <w:tr>
        <w:tc>
          <w:tcPr>
            <w:tcW w:type="dxa" w:w="3264"/>
          </w:tcPr>
          <w:p>
            <w:pPr>
              <w:spacing w:after="0"/>
            </w:pPr>
            <w:r>
              <w:rPr>
                <w:sz w:val="16"/>
              </w:rPr>
            </w:r>
            <w:r>
              <w:rPr>
                <w:b/>
                <w:sz w:val="16"/>
              </w:rPr>
              <w:t>编号</w:t>
            </w:r>
          </w:p>
        </w:tc>
        <w:tc>
          <w:tcPr>
            <w:tcW w:type="dxa" w:w="3264"/>
          </w:tcPr>
          <w:p>
            <w:pPr>
              <w:spacing w:after="0"/>
            </w:pPr>
            <w:r>
              <w:rPr>
                <w:sz w:val="16"/>
              </w:rPr>
            </w:r>
            <w:r>
              <w:rPr>
                <w:b/>
                <w:sz w:val="16"/>
              </w:rPr>
              <w:t>内容</w:t>
            </w:r>
          </w:p>
        </w:tc>
        <w:tc>
          <w:tcPr>
            <w:tcW w:type="dxa" w:w="3264"/>
          </w:tcPr>
          <w:p>
            <w:pPr>
              <w:spacing w:after="0"/>
            </w:pPr>
            <w:r>
              <w:rPr>
                <w:sz w:val="16"/>
              </w:rPr>
            </w:r>
            <w:r>
              <w:rPr>
                <w:b/>
                <w:sz w:val="16"/>
              </w:rPr>
              <w:t>来源</w:t>
            </w:r>
          </w:p>
        </w:tc>
      </w:tr>
      <w:tr>
        <w:tc>
          <w:tcPr>
            <w:tcW w:type="dxa" w:w="3264"/>
          </w:tcPr>
          <w:p>
            <w:pPr>
              <w:spacing w:after="0"/>
            </w:pPr>
            <w:r>
              <w:rPr>
                <w:sz w:val="16"/>
              </w:rPr>
            </w:r>
            <w:r>
              <w:rPr>
                <w:sz w:val="16"/>
              </w:rPr>
              <w:t>表 1</w:t>
            </w:r>
          </w:p>
        </w:tc>
        <w:tc>
          <w:tcPr>
            <w:tcW w:type="dxa" w:w="3264"/>
          </w:tcPr>
          <w:p>
            <w:pPr>
              <w:spacing w:after="0"/>
            </w:pPr>
            <w:r>
              <w:rPr>
                <w:sz w:val="16"/>
              </w:rPr>
            </w:r>
            <w:r>
              <w:rPr>
                <w:sz w:val="16"/>
              </w:rPr>
              <w:t>相关工作研究族对比（任务 / 拟合边界 / 主要结论 / 与本文差异）</w:t>
            </w:r>
          </w:p>
        </w:tc>
        <w:tc>
          <w:tcPr>
            <w:tcW w:type="dxa" w:w="3264"/>
          </w:tcPr>
          <w:p>
            <w:pPr>
              <w:spacing w:after="0"/>
            </w:pPr>
            <w:r>
              <w:rPr>
                <w:sz w:val="16"/>
              </w:rPr>
            </w:r>
            <w:r>
              <w:rPr>
                <w:sz w:val="16"/>
              </w:rPr>
              <w:t>新写</w:t>
            </w:r>
          </w:p>
        </w:tc>
      </w:tr>
      <w:tr>
        <w:tc>
          <w:tcPr>
            <w:tcW w:type="dxa" w:w="3264"/>
          </w:tcPr>
          <w:p>
            <w:pPr>
              <w:spacing w:after="0"/>
            </w:pPr>
            <w:r>
              <w:rPr>
                <w:sz w:val="16"/>
              </w:rPr>
            </w:r>
            <w:r>
              <w:rPr>
                <w:sz w:val="16"/>
              </w:rPr>
              <w:t>表 2</w:t>
            </w:r>
          </w:p>
        </w:tc>
        <w:tc>
          <w:tcPr>
            <w:tcW w:type="dxa" w:w="3264"/>
          </w:tcPr>
          <w:p>
            <w:pPr>
              <w:spacing w:after="0"/>
            </w:pPr>
            <w:r>
              <w:rPr>
                <w:sz w:val="16"/>
              </w:rPr>
            </w:r>
            <w:r>
              <w:rPr>
                <w:sz w:val="16"/>
              </w:rPr>
              <w:t>三个公开数据集来源、版本、访问日期与哈希</w:t>
            </w:r>
          </w:p>
        </w:tc>
        <w:tc>
          <w:tcPr>
            <w:tcW w:type="dxa" w:w="3264"/>
          </w:tcPr>
          <w:p>
            <w:pPr>
              <w:spacing w:after="0"/>
            </w:pPr>
            <w:r>
              <w:rPr>
                <w:sz w:val="16"/>
              </w:rPr>
            </w:r>
            <w:r>
              <w:rPr>
                <w:rFonts w:ascii="Consolas" w:hAnsi="Consolas"/>
                <w:sz w:val="16"/>
              </w:rPr>
              <w:t>results_paper_materials_v3/tables/table_data_source_provenance_v1.csv</w:t>
            </w:r>
          </w:p>
        </w:tc>
      </w:tr>
      <w:tr>
        <w:tc>
          <w:tcPr>
            <w:tcW w:type="dxa" w:w="3264"/>
          </w:tcPr>
          <w:p>
            <w:pPr>
              <w:spacing w:after="0"/>
            </w:pPr>
            <w:r>
              <w:rPr>
                <w:sz w:val="16"/>
              </w:rPr>
            </w:r>
            <w:r>
              <w:rPr>
                <w:sz w:val="16"/>
              </w:rPr>
              <w:t>表 3</w:t>
            </w:r>
          </w:p>
        </w:tc>
        <w:tc>
          <w:tcPr>
            <w:tcW w:type="dxa" w:w="3264"/>
          </w:tcPr>
          <w:p>
            <w:pPr>
              <w:spacing w:after="0"/>
            </w:pPr>
            <w:r>
              <w:rPr>
                <w:sz w:val="16"/>
              </w:rPr>
            </w:r>
            <w:r>
              <w:rPr>
                <w:sz w:val="16"/>
              </w:rPr>
              <w:t>CIC-IDS2017 审计阶段计数</w:t>
            </w:r>
          </w:p>
        </w:tc>
        <w:tc>
          <w:tcPr>
            <w:tcW w:type="dxa" w:w="3264"/>
          </w:tcPr>
          <w:p>
            <w:pPr>
              <w:spacing w:after="0"/>
            </w:pPr>
            <w:r>
              <w:rPr>
                <w:sz w:val="16"/>
              </w:rPr>
            </w:r>
            <w:r>
              <w:rPr>
                <w:rFonts w:ascii="Consolas" w:hAnsi="Consolas"/>
                <w:sz w:val="16"/>
              </w:rPr>
              <w:t>results_data_audit_cic_natural_v3b/data_processing_audit.json</w:t>
            </w:r>
          </w:p>
        </w:tc>
      </w:tr>
      <w:tr>
        <w:tc>
          <w:tcPr>
            <w:tcW w:type="dxa" w:w="3264"/>
          </w:tcPr>
          <w:p>
            <w:pPr>
              <w:spacing w:after="0"/>
            </w:pPr>
            <w:r>
              <w:rPr>
                <w:sz w:val="16"/>
              </w:rPr>
            </w:r>
            <w:r>
              <w:rPr>
                <w:sz w:val="16"/>
              </w:rPr>
              <w:t>表 4</w:t>
            </w:r>
          </w:p>
        </w:tc>
        <w:tc>
          <w:tcPr>
            <w:tcW w:type="dxa" w:w="3264"/>
          </w:tcPr>
          <w:p>
            <w:pPr>
              <w:spacing w:after="0"/>
            </w:pPr>
            <w:r>
              <w:rPr>
                <w:sz w:val="16"/>
              </w:rPr>
            </w:r>
            <w:r>
              <w:rPr>
                <w:sz w:val="16"/>
              </w:rPr>
              <w:t>方法配置与对照条件（专家视图、树数、k、折数、α）</w:t>
            </w:r>
          </w:p>
        </w:tc>
        <w:tc>
          <w:tcPr>
            <w:tcW w:type="dxa" w:w="3264"/>
          </w:tcPr>
          <w:p>
            <w:pPr>
              <w:spacing w:after="0"/>
            </w:pPr>
            <w:r>
              <w:rPr>
                <w:sz w:val="16"/>
              </w:rPr>
            </w:r>
            <w:r>
              <w:rPr>
                <w:rFonts w:ascii="Consolas" w:hAnsi="Consolas"/>
                <w:sz w:val="16"/>
              </w:rPr>
              <w:t>results_publication_final/final_config.json</w:t>
            </w:r>
          </w:p>
        </w:tc>
      </w:tr>
      <w:tr>
        <w:tc>
          <w:tcPr>
            <w:tcW w:type="dxa" w:w="3264"/>
          </w:tcPr>
          <w:p>
            <w:pPr>
              <w:spacing w:after="0"/>
            </w:pPr>
            <w:r>
              <w:rPr>
                <w:sz w:val="16"/>
              </w:rPr>
            </w:r>
            <w:r>
              <w:rPr>
                <w:sz w:val="16"/>
              </w:rPr>
              <w:t>表 5</w:t>
            </w:r>
          </w:p>
        </w:tc>
        <w:tc>
          <w:tcPr>
            <w:tcW w:type="dxa" w:w="3264"/>
          </w:tcPr>
          <w:p>
            <w:pPr>
              <w:spacing w:after="0"/>
            </w:pPr>
            <w:r>
              <w:rPr>
                <w:sz w:val="16"/>
              </w:rPr>
            </w:r>
            <w:r>
              <w:rPr>
                <w:sz w:val="16"/>
              </w:rPr>
              <w:t>主结果：自然先验与平衡控制下的模型对比</w:t>
            </w:r>
          </w:p>
        </w:tc>
        <w:tc>
          <w:tcPr>
            <w:tcW w:type="dxa" w:w="3264"/>
          </w:tcPr>
          <w:p>
            <w:pPr>
              <w:spacing w:after="0"/>
            </w:pPr>
            <w:r>
              <w:rPr>
                <w:sz w:val="16"/>
              </w:rPr>
            </w:r>
            <w:r>
              <w:rPr>
                <w:rFonts w:ascii="Consolas" w:hAnsi="Consolas"/>
                <w:sz w:val="16"/>
              </w:rPr>
              <w:t>metrics_aggregate*</w:t>
            </w:r>
          </w:p>
        </w:tc>
      </w:tr>
      <w:tr>
        <w:tc>
          <w:tcPr>
            <w:tcW w:type="dxa" w:w="3264"/>
          </w:tcPr>
          <w:p>
            <w:pPr>
              <w:spacing w:after="0"/>
            </w:pPr>
            <w:r>
              <w:rPr>
                <w:sz w:val="16"/>
              </w:rPr>
            </w:r>
            <w:r>
              <w:rPr>
                <w:sz w:val="16"/>
              </w:rPr>
              <w:t>表 6</w:t>
            </w:r>
          </w:p>
        </w:tc>
        <w:tc>
          <w:tcPr>
            <w:tcW w:type="dxa" w:w="3264"/>
          </w:tcPr>
          <w:p>
            <w:pPr>
              <w:spacing w:after="0"/>
            </w:pPr>
            <w:r>
              <w:rPr>
                <w:sz w:val="16"/>
              </w:rPr>
            </w:r>
            <w:r>
              <w:rPr>
                <w:sz w:val="16"/>
              </w:rPr>
              <w:t>成对统计检验与效应量</w:t>
            </w:r>
          </w:p>
        </w:tc>
        <w:tc>
          <w:tcPr>
            <w:tcW w:type="dxa" w:w="3264"/>
          </w:tcPr>
          <w:p>
            <w:pPr>
              <w:spacing w:after="0"/>
            </w:pPr>
            <w:r>
              <w:rPr>
                <w:sz w:val="16"/>
              </w:rPr>
            </w:r>
            <w:r>
              <w:rPr>
                <w:rFonts w:ascii="Consolas" w:hAnsi="Consolas"/>
                <w:sz w:val="16"/>
              </w:rPr>
              <w:t>results_rccf_evidence_v3b/macro_f1_paired_tests.csv</w:t>
            </w:r>
          </w:p>
        </w:tc>
      </w:tr>
      <w:tr>
        <w:tc>
          <w:tcPr>
            <w:tcW w:type="dxa" w:w="3264"/>
          </w:tcPr>
          <w:p>
            <w:pPr>
              <w:spacing w:after="0"/>
            </w:pPr>
            <w:r>
              <w:rPr>
                <w:sz w:val="16"/>
              </w:rPr>
            </w:r>
            <w:r>
              <w:rPr>
                <w:sz w:val="16"/>
              </w:rPr>
              <w:t>表 7</w:t>
            </w:r>
          </w:p>
        </w:tc>
        <w:tc>
          <w:tcPr>
            <w:tcW w:type="dxa" w:w="3264"/>
          </w:tcPr>
          <w:p>
            <w:pPr>
              <w:spacing w:after="0"/>
            </w:pPr>
            <w:r>
              <w:rPr>
                <w:sz w:val="16"/>
              </w:rPr>
            </w:r>
            <w:r>
              <w:rPr>
                <w:sz w:val="16"/>
              </w:rPr>
              <w:t>实践决策矩阵（目标 → 推荐方案 → 代价）</w:t>
            </w:r>
          </w:p>
        </w:tc>
        <w:tc>
          <w:tcPr>
            <w:tcW w:type="dxa" w:w="3264"/>
          </w:tcPr>
          <w:p>
            <w:pPr>
              <w:spacing w:after="0"/>
            </w:pPr>
            <w:r>
              <w:rPr>
                <w:sz w:val="16"/>
              </w:rPr>
            </w:r>
            <w:r>
              <w:rPr>
                <w:sz w:val="16"/>
              </w:rPr>
              <w:t>新写（6.3）</w:t>
            </w:r>
          </w:p>
        </w:tc>
      </w:tr>
    </w:tbl>
    <w:p>
      <w:pPr>
        <w:spacing w:after="40"/>
      </w:pPr>
    </w:p>
    <w:p>
      <w:pPr>
        <w:pStyle w:val="Heading2"/>
      </w:pPr>
      <w:r>
        <w:t>主图（9 张，全部进正文）</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3264"/>
        <w:gridCol w:w="3264"/>
        <w:gridCol w:w="3264"/>
      </w:tblGrid>
      <w:tr>
        <w:tc>
          <w:tcPr>
            <w:tcW w:type="dxa" w:w="3264"/>
          </w:tcPr>
          <w:p>
            <w:pPr>
              <w:spacing w:after="0"/>
            </w:pPr>
            <w:r>
              <w:rPr>
                <w:sz w:val="16"/>
              </w:rPr>
            </w:r>
            <w:r>
              <w:rPr>
                <w:b/>
                <w:sz w:val="16"/>
              </w:rPr>
              <w:t>编号</w:t>
            </w:r>
          </w:p>
        </w:tc>
        <w:tc>
          <w:tcPr>
            <w:tcW w:type="dxa" w:w="3264"/>
          </w:tcPr>
          <w:p>
            <w:pPr>
              <w:spacing w:after="0"/>
            </w:pPr>
            <w:r>
              <w:rPr>
                <w:sz w:val="16"/>
              </w:rPr>
            </w:r>
            <w:r>
              <w:rPr>
                <w:b/>
                <w:sz w:val="16"/>
              </w:rPr>
              <w:t>内容</w:t>
            </w:r>
          </w:p>
        </w:tc>
        <w:tc>
          <w:tcPr>
            <w:tcW w:type="dxa" w:w="3264"/>
          </w:tcPr>
          <w:p>
            <w:pPr>
              <w:spacing w:after="0"/>
            </w:pPr>
            <w:r>
              <w:rPr>
                <w:sz w:val="16"/>
              </w:rPr>
            </w:r>
            <w:r>
              <w:rPr>
                <w:b/>
                <w:sz w:val="16"/>
              </w:rPr>
              <w:t>状态</w:t>
            </w:r>
          </w:p>
        </w:tc>
      </w:tr>
      <w:tr>
        <w:tc>
          <w:tcPr>
            <w:tcW w:type="dxa" w:w="3264"/>
          </w:tcPr>
          <w:p>
            <w:pPr>
              <w:spacing w:after="0"/>
            </w:pPr>
            <w:r>
              <w:rPr>
                <w:sz w:val="16"/>
              </w:rPr>
            </w:r>
            <w:r>
              <w:rPr>
                <w:sz w:val="16"/>
              </w:rPr>
              <w:t>图 1</w:t>
            </w:r>
          </w:p>
        </w:tc>
        <w:tc>
          <w:tcPr>
            <w:tcW w:type="dxa" w:w="3264"/>
          </w:tcPr>
          <w:p>
            <w:pPr>
              <w:spacing w:after="0"/>
            </w:pPr>
            <w:r>
              <w:rPr>
                <w:sz w:val="16"/>
              </w:rPr>
            </w:r>
            <w:r>
              <w:rPr>
                <w:sz w:val="16"/>
              </w:rPr>
              <w:t>研究框架：审计 → 去重 → 划分 → 仅训练侧变换 → 训练/校准/测试边界</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2</w:t>
            </w:r>
          </w:p>
        </w:tc>
        <w:tc>
          <w:tcPr>
            <w:tcW w:type="dxa" w:w="3264"/>
          </w:tcPr>
          <w:p>
            <w:pPr>
              <w:spacing w:after="0"/>
            </w:pPr>
            <w:r>
              <w:rPr>
                <w:sz w:val="16"/>
              </w:rPr>
            </w:r>
            <w:r>
              <w:rPr>
                <w:sz w:val="16"/>
              </w:rPr>
              <w:t>CIC 数据处理瀑布图</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3</w:t>
            </w:r>
          </w:p>
        </w:tc>
        <w:tc>
          <w:tcPr>
            <w:tcW w:type="dxa" w:w="3264"/>
          </w:tcPr>
          <w:p>
            <w:pPr>
              <w:spacing w:after="0"/>
            </w:pPr>
            <w:r>
              <w:rPr>
                <w:sz w:val="16"/>
              </w:rPr>
            </w:r>
            <w:r>
              <w:rPr>
                <w:sz w:val="16"/>
              </w:rPr>
              <w:t>RCCF 机制结构与三个命题的几何直觉</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4</w:t>
            </w:r>
          </w:p>
        </w:tc>
        <w:tc>
          <w:tcPr>
            <w:tcW w:type="dxa" w:w="3264"/>
          </w:tcPr>
          <w:p>
            <w:pPr>
              <w:spacing w:after="0"/>
            </w:pPr>
            <w:r>
              <w:rPr>
                <w:sz w:val="16"/>
              </w:rPr>
            </w:r>
            <w:r>
              <w:rPr>
                <w:sz w:val="16"/>
              </w:rPr>
              <w:t>主结果：各模型 Macro-F1 与 95% Bootstrap 区间</w:t>
            </w:r>
          </w:p>
        </w:tc>
        <w:tc>
          <w:tcPr>
            <w:tcW w:type="dxa" w:w="3264"/>
          </w:tcPr>
          <w:p>
            <w:pPr>
              <w:spacing w:after="0"/>
            </w:pPr>
            <w:r>
              <w:rPr>
                <w:sz w:val="16"/>
              </w:rPr>
            </w:r>
            <w:r>
              <w:rPr>
                <w:sz w:val="16"/>
              </w:rPr>
              <w:t>需重算</w:t>
            </w:r>
          </w:p>
        </w:tc>
      </w:tr>
      <w:tr>
        <w:tc>
          <w:tcPr>
            <w:tcW w:type="dxa" w:w="3264"/>
          </w:tcPr>
          <w:p>
            <w:pPr>
              <w:spacing w:after="0"/>
            </w:pPr>
            <w:r>
              <w:rPr>
                <w:sz w:val="16"/>
              </w:rPr>
            </w:r>
            <w:r>
              <w:rPr>
                <w:sz w:val="16"/>
              </w:rPr>
              <w:t>图 5</w:t>
            </w:r>
          </w:p>
        </w:tc>
        <w:tc>
          <w:tcPr>
            <w:tcW w:type="dxa" w:w="3264"/>
          </w:tcPr>
          <w:p>
            <w:pPr>
              <w:spacing w:after="0"/>
            </w:pPr>
            <w:r>
              <w:rPr>
                <w:sz w:val="16"/>
              </w:rPr>
            </w:r>
            <w:r>
              <w:rPr>
                <w:sz w:val="16"/>
              </w:rPr>
              <w:t>机制诊断：权重分布 + 权重熵 + 分歧条数</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6</w:t>
            </w:r>
          </w:p>
        </w:tc>
        <w:tc>
          <w:tcPr>
            <w:tcW w:type="dxa" w:w="3264"/>
          </w:tcPr>
          <w:p>
            <w:pPr>
              <w:spacing w:after="0"/>
            </w:pPr>
            <w:r>
              <w:rPr>
                <w:sz w:val="16"/>
              </w:rPr>
            </w:r>
            <w:r>
              <w:rPr>
                <w:sz w:val="16"/>
              </w:rPr>
              <w:t>协议敏感性对照</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7</w:t>
            </w:r>
          </w:p>
        </w:tc>
        <w:tc>
          <w:tcPr>
            <w:tcW w:type="dxa" w:w="3264"/>
          </w:tcPr>
          <w:p>
            <w:pPr>
              <w:spacing w:after="0"/>
            </w:pPr>
            <w:r>
              <w:rPr>
                <w:sz w:val="16"/>
              </w:rPr>
            </w:r>
            <w:r>
              <w:rPr>
                <w:sz w:val="16"/>
              </w:rPr>
              <w:t>外部数据集类别级 F1 热图</w:t>
            </w:r>
          </w:p>
        </w:tc>
        <w:tc>
          <w:tcPr>
            <w:tcW w:type="dxa" w:w="3264"/>
          </w:tcPr>
          <w:p>
            <w:pPr>
              <w:spacing w:after="0"/>
            </w:pPr>
            <w:r>
              <w:rPr>
                <w:sz w:val="16"/>
              </w:rPr>
            </w:r>
            <w:r>
              <w:rPr>
                <w:sz w:val="16"/>
              </w:rPr>
              <w:t>需新绘</w:t>
            </w:r>
          </w:p>
        </w:tc>
      </w:tr>
      <w:tr>
        <w:tc>
          <w:tcPr>
            <w:tcW w:type="dxa" w:w="3264"/>
          </w:tcPr>
          <w:p>
            <w:pPr>
              <w:spacing w:after="0"/>
            </w:pPr>
            <w:r>
              <w:rPr>
                <w:sz w:val="16"/>
              </w:rPr>
            </w:r>
            <w:r>
              <w:rPr>
                <w:sz w:val="16"/>
              </w:rPr>
              <w:t>图 8</w:t>
            </w:r>
          </w:p>
        </w:tc>
        <w:tc>
          <w:tcPr>
            <w:tcW w:type="dxa" w:w="3264"/>
          </w:tcPr>
          <w:p>
            <w:pPr>
              <w:spacing w:after="0"/>
            </w:pPr>
            <w:r>
              <w:rPr>
                <w:sz w:val="16"/>
              </w:rPr>
            </w:r>
            <w:r>
              <w:rPr>
                <w:sz w:val="16"/>
              </w:rPr>
              <w:t>概率校准与共享扰动鲁棒性</w:t>
            </w:r>
          </w:p>
        </w:tc>
        <w:tc>
          <w:tcPr>
            <w:tcW w:type="dxa" w:w="3264"/>
          </w:tcPr>
          <w:p>
            <w:pPr>
              <w:spacing w:after="0"/>
            </w:pPr>
            <w:r>
              <w:rPr>
                <w:sz w:val="16"/>
              </w:rPr>
            </w:r>
            <w:r>
              <w:rPr>
                <w:sz w:val="16"/>
              </w:rPr>
              <w:t>可复用并合并</w:t>
            </w:r>
          </w:p>
        </w:tc>
      </w:tr>
      <w:tr>
        <w:tc>
          <w:tcPr>
            <w:tcW w:type="dxa" w:w="3264"/>
          </w:tcPr>
          <w:p>
            <w:pPr>
              <w:spacing w:after="0"/>
            </w:pPr>
            <w:r>
              <w:rPr>
                <w:sz w:val="16"/>
              </w:rPr>
            </w:r>
            <w:r>
              <w:rPr>
                <w:sz w:val="16"/>
              </w:rPr>
              <w:t>图 9</w:t>
            </w:r>
          </w:p>
        </w:tc>
        <w:tc>
          <w:tcPr>
            <w:tcW w:type="dxa" w:w="3264"/>
          </w:tcPr>
          <w:p>
            <w:pPr>
              <w:spacing w:after="0"/>
            </w:pPr>
            <w:r>
              <w:rPr>
                <w:sz w:val="16"/>
              </w:rPr>
            </w:r>
            <w:r>
              <w:rPr>
                <w:sz w:val="16"/>
              </w:rPr>
              <w:t>推理延迟 P50/P95/P99（单线程与默认线程）</w:t>
            </w:r>
          </w:p>
        </w:tc>
        <w:tc>
          <w:tcPr>
            <w:tcW w:type="dxa" w:w="3264"/>
          </w:tcPr>
          <w:p>
            <w:pPr>
              <w:spacing w:after="0"/>
            </w:pPr>
            <w:r>
              <w:rPr>
                <w:sz w:val="16"/>
              </w:rPr>
            </w:r>
            <w:r>
              <w:rPr>
                <w:sz w:val="16"/>
              </w:rPr>
              <w:t>需补齐分组</w:t>
            </w:r>
          </w:p>
        </w:tc>
      </w:tr>
    </w:tbl>
    <w:p>
      <w:pPr>
        <w:spacing w:after="40"/>
      </w:pPr>
    </w:p>
    <w:p>
      <w:pPr>
        <w:pStyle w:val="Heading2"/>
      </w:pPr>
      <w:r>
        <w:t>移入补充材料</w:t>
      </w:r>
    </w:p>
    <w:p>
      <w:r>
        <w:t>以下 13 张表从正文移出，改为 S1–S15：逐模型分类报告、混淆矩阵、类别计数、逐种子指标、校准参数、特征选择频次、原始文件标签覆盖。</w:t>
      </w:r>
    </w:p>
    <w:p>
      <w:pPr>
        <w:pStyle w:val="Heading1"/>
      </w:pPr>
      <w:r>
        <w:t>七、旧稿内容迁移映射</w:t>
      </w:r>
    </w:p>
    <w:tbl>
      <w:tblPr>
        <w:tblStyle w:val="TableGrid"/>
        <w:tblW w:type="auto" w:w="0"/>
        <w:tblLook w:firstColumn="1" w:firstRow="1" w:lastColumn="0" w:lastRow="0" w:noHBand="0" w:noVBand="1" w:val="04A0"/>
        <w:tblBorders>
          <w:top w:val="single" w:sz="6" w:space="0" w:color="000000"/>
          <w:left w:val="none" w:sz="0" w:space="0" w:color="auto"/>
          <w:bottom w:val="single" w:sz="6" w:space="0" w:color="000000"/>
          <w:right w:val="none" w:sz="0" w:space="0" w:color="auto"/>
          <w:insideH w:val="single" w:sz="6" w:space="0" w:color="000000"/>
          <w:insideV w:val="none" w:sz="0" w:space="0" w:color="auto"/>
        </w:tblBorders>
      </w:tblPr>
      <w:tblGrid>
        <w:gridCol w:w="3264"/>
        <w:gridCol w:w="3264"/>
        <w:gridCol w:w="3264"/>
      </w:tblGrid>
      <w:tr>
        <w:tc>
          <w:tcPr>
            <w:tcW w:type="dxa" w:w="3264"/>
          </w:tcPr>
          <w:p>
            <w:pPr>
              <w:spacing w:after="0"/>
            </w:pPr>
            <w:r>
              <w:rPr>
                <w:sz w:val="16"/>
              </w:rPr>
            </w:r>
            <w:r>
              <w:rPr>
                <w:b/>
                <w:sz w:val="16"/>
              </w:rPr>
              <w:t>旧稿位置</w:t>
            </w:r>
          </w:p>
        </w:tc>
        <w:tc>
          <w:tcPr>
            <w:tcW w:type="dxa" w:w="3264"/>
          </w:tcPr>
          <w:p>
            <w:pPr>
              <w:spacing w:after="0"/>
            </w:pPr>
            <w:r>
              <w:rPr>
                <w:sz w:val="16"/>
              </w:rPr>
            </w:r>
            <w:r>
              <w:rPr>
                <w:b/>
                <w:sz w:val="16"/>
              </w:rPr>
              <w:t>处理</w:t>
            </w:r>
          </w:p>
        </w:tc>
        <w:tc>
          <w:tcPr>
            <w:tcW w:type="dxa" w:w="3264"/>
          </w:tcPr>
          <w:p>
            <w:pPr>
              <w:spacing w:after="0"/>
            </w:pPr>
            <w:r>
              <w:rPr>
                <w:sz w:val="16"/>
              </w:rPr>
            </w:r>
            <w:r>
              <w:rPr>
                <w:b/>
                <w:sz w:val="16"/>
              </w:rPr>
              <w:t>去向</w:t>
            </w:r>
          </w:p>
        </w:tc>
      </w:tr>
      <w:tr>
        <w:tc>
          <w:tcPr>
            <w:tcW w:type="dxa" w:w="3264"/>
          </w:tcPr>
          <w:p>
            <w:pPr>
              <w:spacing w:after="0"/>
            </w:pPr>
            <w:r>
              <w:rPr>
                <w:sz w:val="16"/>
              </w:rPr>
            </w:r>
            <w:r>
              <w:rPr>
                <w:sz w:val="16"/>
              </w:rPr>
              <w:t>1.2 研究问题与假设</w:t>
            </w:r>
          </w:p>
        </w:tc>
        <w:tc>
          <w:tcPr>
            <w:tcW w:type="dxa" w:w="3264"/>
          </w:tcPr>
          <w:p>
            <w:pPr>
              <w:spacing w:after="0"/>
            </w:pPr>
            <w:r>
              <w:rPr>
                <w:sz w:val="16"/>
              </w:rPr>
            </w:r>
            <w:r>
              <w:rPr>
                <w:sz w:val="16"/>
              </w:rPr>
              <w:t>保留并重排</w:t>
            </w:r>
          </w:p>
        </w:tc>
        <w:tc>
          <w:tcPr>
            <w:tcW w:type="dxa" w:w="3264"/>
          </w:tcPr>
          <w:p>
            <w:pPr>
              <w:spacing w:after="0"/>
            </w:pPr>
            <w:r>
              <w:rPr>
                <w:sz w:val="16"/>
              </w:rPr>
            </w:r>
            <w:r>
              <w:rPr>
                <w:sz w:val="16"/>
              </w:rPr>
              <w:t>1.3（与结果小节一一对应）</w:t>
            </w:r>
          </w:p>
        </w:tc>
      </w:tr>
      <w:tr>
        <w:tc>
          <w:tcPr>
            <w:tcW w:type="dxa" w:w="3264"/>
          </w:tcPr>
          <w:p>
            <w:pPr>
              <w:spacing w:after="0"/>
            </w:pPr>
            <w:r>
              <w:rPr>
                <w:sz w:val="16"/>
              </w:rPr>
            </w:r>
            <w:r>
              <w:rPr>
                <w:sz w:val="16"/>
              </w:rPr>
              <w:t>1.4 估计对象与决策规则</w:t>
            </w:r>
          </w:p>
        </w:tc>
        <w:tc>
          <w:tcPr>
            <w:tcW w:type="dxa" w:w="3264"/>
          </w:tcPr>
          <w:p>
            <w:pPr>
              <w:spacing w:after="0"/>
            </w:pPr>
            <w:r>
              <w:rPr>
                <w:sz w:val="16"/>
              </w:rPr>
            </w:r>
            <w:r>
              <w:rPr>
                <w:sz w:val="16"/>
              </w:rPr>
              <w:t>保留</w:t>
            </w:r>
          </w:p>
        </w:tc>
        <w:tc>
          <w:tcPr>
            <w:tcW w:type="dxa" w:w="3264"/>
          </w:tcPr>
          <w:p>
            <w:pPr>
              <w:spacing w:after="0"/>
            </w:pPr>
            <w:r>
              <w:rPr>
                <w:sz w:val="16"/>
              </w:rPr>
            </w:r>
            <w:r>
              <w:rPr>
                <w:sz w:val="16"/>
              </w:rPr>
              <w:t>3.5</w:t>
            </w:r>
          </w:p>
        </w:tc>
      </w:tr>
      <w:tr>
        <w:tc>
          <w:tcPr>
            <w:tcW w:type="dxa" w:w="3264"/>
          </w:tcPr>
          <w:p>
            <w:pPr>
              <w:spacing w:after="0"/>
            </w:pPr>
            <w:r>
              <w:rPr>
                <w:sz w:val="16"/>
              </w:rPr>
            </w:r>
            <w:r>
              <w:rPr>
                <w:sz w:val="16"/>
              </w:rPr>
              <w:t>2.1 研究族对比表</w:t>
            </w:r>
          </w:p>
        </w:tc>
        <w:tc>
          <w:tcPr>
            <w:tcW w:type="dxa" w:w="3264"/>
          </w:tcPr>
          <w:p>
            <w:pPr>
              <w:spacing w:after="0"/>
            </w:pPr>
            <w:r>
              <w:rPr>
                <w:sz w:val="16"/>
              </w:rPr>
            </w:r>
            <w:r>
              <w:rPr>
                <w:sz w:val="16"/>
              </w:rPr>
              <w:t>保留</w:t>
            </w:r>
          </w:p>
        </w:tc>
        <w:tc>
          <w:tcPr>
            <w:tcW w:type="dxa" w:w="3264"/>
          </w:tcPr>
          <w:p>
            <w:pPr>
              <w:spacing w:after="0"/>
            </w:pPr>
            <w:r>
              <w:rPr>
                <w:sz w:val="16"/>
              </w:rPr>
            </w:r>
            <w:r>
              <w:rPr>
                <w:sz w:val="16"/>
              </w:rPr>
              <w:t>表 1</w:t>
            </w:r>
          </w:p>
        </w:tc>
      </w:tr>
      <w:tr>
        <w:tc>
          <w:tcPr>
            <w:tcW w:type="dxa" w:w="3264"/>
          </w:tcPr>
          <w:p>
            <w:pPr>
              <w:spacing w:after="0"/>
            </w:pPr>
            <w:r>
              <w:rPr>
                <w:sz w:val="16"/>
              </w:rPr>
            </w:r>
            <w:r>
              <w:rPr>
                <w:sz w:val="16"/>
              </w:rPr>
              <w:t>3.1–3.3 数据集来源</w:t>
            </w:r>
          </w:p>
        </w:tc>
        <w:tc>
          <w:tcPr>
            <w:tcW w:type="dxa" w:w="3264"/>
          </w:tcPr>
          <w:p>
            <w:pPr>
              <w:spacing w:after="0"/>
            </w:pPr>
            <w:r>
              <w:rPr>
                <w:sz w:val="16"/>
              </w:rPr>
            </w:r>
            <w:r>
              <w:rPr>
                <w:sz w:val="16"/>
              </w:rPr>
              <w:t>压缩，补许可与哈希</w:t>
            </w:r>
          </w:p>
        </w:tc>
        <w:tc>
          <w:tcPr>
            <w:tcW w:type="dxa" w:w="3264"/>
          </w:tcPr>
          <w:p>
            <w:pPr>
              <w:spacing w:after="0"/>
            </w:pPr>
            <w:r>
              <w:rPr>
                <w:sz w:val="16"/>
              </w:rPr>
            </w:r>
            <w:r>
              <w:rPr>
                <w:sz w:val="16"/>
              </w:rPr>
              <w:t>3.1–3.2、表 2</w:t>
            </w:r>
          </w:p>
        </w:tc>
      </w:tr>
      <w:tr>
        <w:tc>
          <w:tcPr>
            <w:tcW w:type="dxa" w:w="3264"/>
          </w:tcPr>
          <w:p>
            <w:pPr>
              <w:spacing w:after="0"/>
            </w:pPr>
            <w:r>
              <w:rPr>
                <w:sz w:val="16"/>
              </w:rPr>
            </w:r>
            <w:r>
              <w:rPr>
                <w:sz w:val="16"/>
              </w:rPr>
              <w:t>3.4 两个 CIC 总体</w:t>
            </w:r>
          </w:p>
        </w:tc>
        <w:tc>
          <w:tcPr>
            <w:tcW w:type="dxa" w:w="3264"/>
          </w:tcPr>
          <w:p>
            <w:pPr>
              <w:spacing w:after="0"/>
            </w:pPr>
            <w:r>
              <w:rPr>
                <w:sz w:val="16"/>
              </w:rPr>
            </w:r>
            <w:r>
              <w:rPr>
                <w:sz w:val="16"/>
              </w:rPr>
              <w:t>保留</w:t>
            </w:r>
          </w:p>
        </w:tc>
        <w:tc>
          <w:tcPr>
            <w:tcW w:type="dxa" w:w="3264"/>
          </w:tcPr>
          <w:p>
            <w:pPr>
              <w:spacing w:after="0"/>
            </w:pPr>
            <w:r>
              <w:rPr>
                <w:sz w:val="16"/>
              </w:rPr>
            </w:r>
            <w:r>
              <w:rPr>
                <w:sz w:val="16"/>
              </w:rPr>
              <w:t>3.3</w:t>
            </w:r>
          </w:p>
        </w:tc>
      </w:tr>
      <w:tr>
        <w:tc>
          <w:tcPr>
            <w:tcW w:type="dxa" w:w="3264"/>
          </w:tcPr>
          <w:p>
            <w:pPr>
              <w:spacing w:after="0"/>
            </w:pPr>
            <w:r>
              <w:rPr>
                <w:sz w:val="16"/>
              </w:rPr>
            </w:r>
            <w:r>
              <w:rPr>
                <w:sz w:val="16"/>
              </w:rPr>
              <w:t>4.1 泄漏受控协议</w:t>
            </w:r>
          </w:p>
        </w:tc>
        <w:tc>
          <w:tcPr>
            <w:tcW w:type="dxa" w:w="3264"/>
          </w:tcPr>
          <w:p>
            <w:pPr>
              <w:spacing w:after="0"/>
            </w:pPr>
            <w:r>
              <w:rPr>
                <w:sz w:val="16"/>
              </w:rPr>
            </w:r>
            <w:r>
              <w:rPr>
                <w:sz w:val="16"/>
              </w:rPr>
              <w:t>保留并前移</w:t>
            </w:r>
          </w:p>
        </w:tc>
        <w:tc>
          <w:tcPr>
            <w:tcW w:type="dxa" w:w="3264"/>
          </w:tcPr>
          <w:p>
            <w:pPr>
              <w:spacing w:after="0"/>
            </w:pPr>
            <w:r>
              <w:rPr>
                <w:sz w:val="16"/>
              </w:rPr>
            </w:r>
            <w:r>
              <w:rPr>
                <w:sz w:val="16"/>
              </w:rPr>
              <w:t>3.4</w:t>
            </w:r>
          </w:p>
        </w:tc>
      </w:tr>
      <w:tr>
        <w:tc>
          <w:tcPr>
            <w:tcW w:type="dxa" w:w="3264"/>
          </w:tcPr>
          <w:p>
            <w:pPr>
              <w:spacing w:after="0"/>
            </w:pPr>
            <w:r>
              <w:rPr>
                <w:sz w:val="16"/>
              </w:rPr>
            </w:r>
            <w:r>
              <w:rPr>
                <w:sz w:val="16"/>
              </w:rPr>
              <w:t>4.2 RCCF 机制</w:t>
            </w:r>
          </w:p>
        </w:tc>
        <w:tc>
          <w:tcPr>
            <w:tcW w:type="dxa" w:w="3264"/>
          </w:tcPr>
          <w:p>
            <w:pPr>
              <w:spacing w:after="0"/>
            </w:pPr>
            <w:r>
              <w:rPr>
                <w:sz w:val="16"/>
              </w:rPr>
            </w:r>
            <w:r>
              <w:rPr>
                <w:sz w:val="16"/>
              </w:rPr>
              <w:t>保留</w:t>
            </w:r>
          </w:p>
        </w:tc>
        <w:tc>
          <w:tcPr>
            <w:tcW w:type="dxa" w:w="3264"/>
          </w:tcPr>
          <w:p>
            <w:pPr>
              <w:spacing w:after="0"/>
            </w:pPr>
            <w:r>
              <w:rPr>
                <w:sz w:val="16"/>
              </w:rPr>
            </w:r>
            <w:r>
              <w:rPr>
                <w:sz w:val="16"/>
              </w:rPr>
              <w:t>4.2</w:t>
            </w:r>
          </w:p>
        </w:tc>
      </w:tr>
      <w:tr>
        <w:tc>
          <w:tcPr>
            <w:tcW w:type="dxa" w:w="3264"/>
          </w:tcPr>
          <w:p>
            <w:pPr>
              <w:spacing w:after="0"/>
            </w:pPr>
            <w:r>
              <w:rPr>
                <w:sz w:val="16"/>
              </w:rPr>
            </w:r>
            <w:r>
              <w:rPr>
                <w:sz w:val="16"/>
              </w:rPr>
              <w:t>4.3 训练与推理算法</w:t>
            </w:r>
          </w:p>
        </w:tc>
        <w:tc>
          <w:tcPr>
            <w:tcW w:type="dxa" w:w="3264"/>
          </w:tcPr>
          <w:p>
            <w:pPr>
              <w:spacing w:after="0"/>
            </w:pPr>
            <w:r>
              <w:rPr>
                <w:sz w:val="16"/>
              </w:rPr>
            </w:r>
            <w:r>
              <w:rPr>
                <w:sz w:val="16"/>
              </w:rPr>
              <w:t>保留（含伪代码）</w:t>
            </w:r>
          </w:p>
        </w:tc>
        <w:tc>
          <w:tcPr>
            <w:tcW w:type="dxa" w:w="3264"/>
          </w:tcPr>
          <w:p>
            <w:pPr>
              <w:spacing w:after="0"/>
            </w:pPr>
            <w:r>
              <w:rPr>
                <w:sz w:val="16"/>
              </w:rPr>
            </w:r>
            <w:r>
              <w:rPr>
                <w:sz w:val="16"/>
              </w:rPr>
              <w:t>4.2、算法 1</w:t>
            </w:r>
          </w:p>
        </w:tc>
      </w:tr>
      <w:tr>
        <w:tc>
          <w:tcPr>
            <w:tcW w:type="dxa" w:w="3264"/>
          </w:tcPr>
          <w:p>
            <w:pPr>
              <w:spacing w:after="0"/>
            </w:pPr>
            <w:r>
              <w:rPr>
                <w:sz w:val="16"/>
              </w:rPr>
            </w:r>
            <w:r>
              <w:rPr>
                <w:sz w:val="16"/>
              </w:rPr>
              <w:t>4.4 复杂度</w:t>
            </w:r>
          </w:p>
        </w:tc>
        <w:tc>
          <w:tcPr>
            <w:tcW w:type="dxa" w:w="3264"/>
          </w:tcPr>
          <w:p>
            <w:pPr>
              <w:spacing w:after="0"/>
            </w:pPr>
            <w:r>
              <w:rPr>
                <w:sz w:val="16"/>
              </w:rPr>
            </w:r>
            <w:r>
              <w:rPr>
                <w:sz w:val="16"/>
              </w:rPr>
              <w:t>保留</w:t>
            </w:r>
          </w:p>
        </w:tc>
        <w:tc>
          <w:tcPr>
            <w:tcW w:type="dxa" w:w="3264"/>
          </w:tcPr>
          <w:p>
            <w:pPr>
              <w:spacing w:after="0"/>
            </w:pPr>
            <w:r>
              <w:rPr>
                <w:sz w:val="16"/>
              </w:rPr>
            </w:r>
            <w:r>
              <w:rPr>
                <w:sz w:val="16"/>
              </w:rPr>
              <w:t>4.4</w:t>
            </w:r>
          </w:p>
        </w:tc>
      </w:tr>
      <w:tr>
        <w:tc>
          <w:tcPr>
            <w:tcW w:type="dxa" w:w="3264"/>
          </w:tcPr>
          <w:p>
            <w:pPr>
              <w:spacing w:after="0"/>
            </w:pPr>
            <w:r>
              <w:rPr>
                <w:sz w:val="16"/>
              </w:rPr>
            </w:r>
            <w:r>
              <w:rPr>
                <w:sz w:val="16"/>
              </w:rPr>
              <w:t>4.5 统计分析与估计层级</w:t>
            </w:r>
          </w:p>
        </w:tc>
        <w:tc>
          <w:tcPr>
            <w:tcW w:type="dxa" w:w="3264"/>
          </w:tcPr>
          <w:p>
            <w:pPr>
              <w:spacing w:after="0"/>
            </w:pPr>
            <w:r>
              <w:rPr>
                <w:sz w:val="16"/>
              </w:rPr>
            </w:r>
            <w:r>
              <w:rPr>
                <w:sz w:val="16"/>
              </w:rPr>
              <w:t>保留</w:t>
            </w:r>
          </w:p>
        </w:tc>
        <w:tc>
          <w:tcPr>
            <w:tcW w:type="dxa" w:w="3264"/>
          </w:tcPr>
          <w:p>
            <w:pPr>
              <w:spacing w:after="0"/>
            </w:pPr>
            <w:r>
              <w:rPr>
                <w:sz w:val="16"/>
              </w:rPr>
            </w:r>
            <w:r>
              <w:rPr>
                <w:sz w:val="16"/>
              </w:rPr>
              <w:t>3.5</w:t>
            </w:r>
          </w:p>
        </w:tc>
      </w:tr>
      <w:tr>
        <w:tc>
          <w:tcPr>
            <w:tcW w:type="dxa" w:w="3264"/>
          </w:tcPr>
          <w:p>
            <w:pPr>
              <w:spacing w:after="0"/>
            </w:pPr>
            <w:r>
              <w:rPr>
                <w:sz w:val="16"/>
              </w:rPr>
            </w:r>
            <w:r>
              <w:rPr>
                <w:sz w:val="16"/>
              </w:rPr>
              <w:t>4.6 确证性与诊断性</w:t>
            </w:r>
          </w:p>
        </w:tc>
        <w:tc>
          <w:tcPr>
            <w:tcW w:type="dxa" w:w="3264"/>
          </w:tcPr>
          <w:p>
            <w:pPr>
              <w:spacing w:after="0"/>
            </w:pPr>
            <w:r>
              <w:rPr>
                <w:sz w:val="16"/>
              </w:rPr>
            </w:r>
            <w:r>
              <w:rPr>
                <w:sz w:val="16"/>
              </w:rPr>
              <w:t>并入</w:t>
            </w:r>
          </w:p>
        </w:tc>
        <w:tc>
          <w:tcPr>
            <w:tcW w:type="dxa" w:w="3264"/>
          </w:tcPr>
          <w:p>
            <w:pPr>
              <w:spacing w:after="0"/>
            </w:pPr>
            <w:r>
              <w:rPr>
                <w:sz w:val="16"/>
              </w:rPr>
            </w:r>
            <w:r>
              <w:rPr>
                <w:sz w:val="16"/>
              </w:rPr>
              <w:t>3.5</w:t>
            </w:r>
          </w:p>
        </w:tc>
      </w:tr>
      <w:tr>
        <w:tc>
          <w:tcPr>
            <w:tcW w:type="dxa" w:w="3264"/>
          </w:tcPr>
          <w:p>
            <w:pPr>
              <w:spacing w:after="0"/>
            </w:pPr>
            <w:r>
              <w:rPr>
                <w:sz w:val="16"/>
              </w:rPr>
            </w:r>
            <w:r>
              <w:rPr>
                <w:sz w:val="16"/>
              </w:rPr>
              <w:t>4.7 门控何时改变预测</w:t>
            </w:r>
          </w:p>
        </w:tc>
        <w:tc>
          <w:tcPr>
            <w:tcW w:type="dxa" w:w="3264"/>
          </w:tcPr>
          <w:p>
            <w:pPr>
              <w:spacing w:after="0"/>
            </w:pPr>
            <w:r>
              <w:rPr>
                <w:sz w:val="16"/>
              </w:rPr>
            </w:r>
            <w:r>
              <w:rPr>
                <w:sz w:val="16"/>
              </w:rPr>
              <w:t>改写为正式命题</w:t>
            </w:r>
          </w:p>
        </w:tc>
        <w:tc>
          <w:tcPr>
            <w:tcW w:type="dxa" w:w="3264"/>
          </w:tcPr>
          <w:p>
            <w:pPr>
              <w:spacing w:after="0"/>
            </w:pPr>
            <w:r>
              <w:rPr>
                <w:sz w:val="16"/>
              </w:rPr>
            </w:r>
            <w:r>
              <w:rPr>
                <w:sz w:val="16"/>
              </w:rPr>
              <w:t>4.3 命题 1–3</w:t>
            </w:r>
          </w:p>
        </w:tc>
      </w:tr>
      <w:tr>
        <w:tc>
          <w:tcPr>
            <w:tcW w:type="dxa" w:w="3264"/>
          </w:tcPr>
          <w:p>
            <w:pPr>
              <w:spacing w:after="0"/>
            </w:pPr>
            <w:r>
              <w:rPr>
                <w:sz w:val="16"/>
              </w:rPr>
            </w:r>
            <w:r>
              <w:rPr>
                <w:sz w:val="16"/>
              </w:rPr>
              <w:t>4.8 可辨识性与成本收益</w:t>
            </w:r>
          </w:p>
        </w:tc>
        <w:tc>
          <w:tcPr>
            <w:tcW w:type="dxa" w:w="3264"/>
          </w:tcPr>
          <w:p>
            <w:pPr>
              <w:spacing w:after="0"/>
            </w:pPr>
            <w:r>
              <w:rPr>
                <w:sz w:val="16"/>
              </w:rPr>
            </w:r>
            <w:r>
              <w:rPr>
                <w:sz w:val="16"/>
              </w:rPr>
              <w:t>拆分：命题进 4.3，成本进 4.4 与 6.3</w:t>
            </w:r>
          </w:p>
        </w:tc>
        <w:tc>
          <w:tcPr>
            <w:tcW w:type="dxa" w:w="3264"/>
          </w:tcPr>
          <w:p>
            <w:pPr>
              <w:spacing w:after="0"/>
            </w:pPr>
            <w:r>
              <w:rPr>
                <w:sz w:val="16"/>
              </w:rPr>
            </w:r>
            <w:r>
              <w:rPr>
                <w:sz w:val="16"/>
              </w:rPr>
              <w:t>4.3 / 4.4 / 6.3</w:t>
            </w:r>
          </w:p>
        </w:tc>
      </w:tr>
      <w:tr>
        <w:tc>
          <w:tcPr>
            <w:tcW w:type="dxa" w:w="3264"/>
          </w:tcPr>
          <w:p>
            <w:pPr>
              <w:spacing w:after="0"/>
            </w:pPr>
            <w:r>
              <w:rPr>
                <w:sz w:val="16"/>
              </w:rPr>
            </w:r>
            <w:r>
              <w:rPr>
                <w:sz w:val="16"/>
              </w:rPr>
              <w:t>5.1–5.6 结果</w:t>
            </w:r>
          </w:p>
        </w:tc>
        <w:tc>
          <w:tcPr>
            <w:tcW w:type="dxa" w:w="3264"/>
          </w:tcPr>
          <w:p>
            <w:pPr>
              <w:spacing w:after="0"/>
            </w:pPr>
            <w:r>
              <w:rPr>
                <w:sz w:val="16"/>
              </w:rPr>
            </w:r>
            <w:r>
              <w:rPr>
                <w:sz w:val="16"/>
              </w:rPr>
              <w:t>按 RQ 重组</w:t>
            </w:r>
          </w:p>
        </w:tc>
        <w:tc>
          <w:tcPr>
            <w:tcW w:type="dxa" w:w="3264"/>
          </w:tcPr>
          <w:p>
            <w:pPr>
              <w:spacing w:after="0"/>
            </w:pPr>
            <w:r>
              <w:rPr>
                <w:sz w:val="16"/>
              </w:rPr>
            </w:r>
            <w:r>
              <w:rPr>
                <w:sz w:val="16"/>
              </w:rPr>
              <w:t>5.1–5.6</w:t>
            </w:r>
          </w:p>
        </w:tc>
      </w:tr>
      <w:tr>
        <w:tc>
          <w:tcPr>
            <w:tcW w:type="dxa" w:w="3264"/>
          </w:tcPr>
          <w:p>
            <w:pPr>
              <w:spacing w:after="0"/>
            </w:pPr>
            <w:r>
              <w:rPr>
                <w:sz w:val="16"/>
              </w:rPr>
            </w:r>
            <w:r>
              <w:rPr>
                <w:sz w:val="16"/>
              </w:rPr>
              <w:t>5.7 面向审稿人的综合</w:t>
            </w:r>
          </w:p>
        </w:tc>
        <w:tc>
          <w:tcPr>
            <w:tcW w:type="dxa" w:w="3264"/>
          </w:tcPr>
          <w:p>
            <w:pPr>
              <w:spacing w:after="0"/>
            </w:pPr>
            <w:r>
              <w:rPr>
                <w:sz w:val="16"/>
              </w:rPr>
            </w:r>
            <w:r>
              <w:rPr>
                <w:sz w:val="16"/>
              </w:rPr>
              <w:t>删除（属于自查）</w:t>
            </w:r>
          </w:p>
        </w:tc>
        <w:tc>
          <w:tcPr>
            <w:tcW w:type="dxa" w:w="3264"/>
          </w:tcPr>
          <w:p>
            <w:pPr>
              <w:spacing w:after="0"/>
            </w:pPr>
            <w:r>
              <w:rPr>
                <w:sz w:val="16"/>
              </w:rPr>
            </w:r>
            <w:r>
              <w:rPr>
                <w:sz w:val="16"/>
              </w:rPr>
              <w:t>内容并入 6.2</w:t>
            </w:r>
          </w:p>
        </w:tc>
      </w:tr>
      <w:tr>
        <w:tc>
          <w:tcPr>
            <w:tcW w:type="dxa" w:w="3264"/>
          </w:tcPr>
          <w:p>
            <w:pPr>
              <w:spacing w:after="0"/>
            </w:pPr>
            <w:r>
              <w:rPr>
                <w:sz w:val="16"/>
              </w:rPr>
            </w:r>
            <w:r>
              <w:rPr>
                <w:sz w:val="16"/>
              </w:rPr>
              <w:t>6.1–6.3 讨论</w:t>
            </w:r>
          </w:p>
        </w:tc>
        <w:tc>
          <w:tcPr>
            <w:tcW w:type="dxa" w:w="3264"/>
          </w:tcPr>
          <w:p>
            <w:pPr>
              <w:spacing w:after="0"/>
            </w:pPr>
            <w:r>
              <w:rPr>
                <w:sz w:val="16"/>
              </w:rPr>
            </w:r>
            <w:r>
              <w:rPr>
                <w:sz w:val="16"/>
              </w:rPr>
              <w:t>扩充</w:t>
            </w:r>
          </w:p>
        </w:tc>
        <w:tc>
          <w:tcPr>
            <w:tcW w:type="dxa" w:w="3264"/>
          </w:tcPr>
          <w:p>
            <w:pPr>
              <w:spacing w:after="0"/>
            </w:pPr>
            <w:r>
              <w:rPr>
                <w:sz w:val="16"/>
              </w:rPr>
            </w:r>
            <w:r>
              <w:rPr>
                <w:sz w:val="16"/>
              </w:rPr>
              <w:t>6.1–6.5</w:t>
            </w:r>
          </w:p>
        </w:tc>
      </w:tr>
      <w:tr>
        <w:tc>
          <w:tcPr>
            <w:tcW w:type="dxa" w:w="3264"/>
          </w:tcPr>
          <w:p>
            <w:pPr>
              <w:spacing w:after="0"/>
            </w:pPr>
            <w:r>
              <w:rPr>
                <w:sz w:val="16"/>
              </w:rPr>
            </w:r>
            <w:r>
              <w:rPr>
                <w:sz w:val="16"/>
              </w:rPr>
              <w:t>7 局限</w:t>
            </w:r>
          </w:p>
        </w:tc>
        <w:tc>
          <w:tcPr>
            <w:tcW w:type="dxa" w:w="3264"/>
          </w:tcPr>
          <w:p>
            <w:pPr>
              <w:spacing w:after="0"/>
            </w:pPr>
            <w:r>
              <w:rPr>
                <w:sz w:val="16"/>
              </w:rPr>
            </w:r>
            <w:r>
              <w:rPr>
                <w:sz w:val="16"/>
              </w:rPr>
              <w:t>保留，部分前移</w:t>
            </w:r>
          </w:p>
        </w:tc>
        <w:tc>
          <w:tcPr>
            <w:tcW w:type="dxa" w:w="3264"/>
          </w:tcPr>
          <w:p>
            <w:pPr>
              <w:spacing w:after="0"/>
            </w:pPr>
            <w:r>
              <w:rPr>
                <w:sz w:val="16"/>
              </w:rPr>
            </w:r>
            <w:r>
              <w:rPr>
                <w:sz w:val="16"/>
              </w:rPr>
              <w:t>3.6 / 6.5</w:t>
            </w:r>
          </w:p>
        </w:tc>
      </w:tr>
      <w:tr>
        <w:tc>
          <w:tcPr>
            <w:tcW w:type="dxa" w:w="3264"/>
          </w:tcPr>
          <w:p>
            <w:pPr>
              <w:spacing w:after="0"/>
            </w:pPr>
            <w:r>
              <w:rPr>
                <w:sz w:val="16"/>
              </w:rPr>
            </w:r>
            <w:r>
              <w:rPr>
                <w:sz w:val="16"/>
              </w:rPr>
              <w:t>8 结论</w:t>
            </w:r>
          </w:p>
        </w:tc>
        <w:tc>
          <w:tcPr>
            <w:tcW w:type="dxa" w:w="3264"/>
          </w:tcPr>
          <w:p>
            <w:pPr>
              <w:spacing w:after="0"/>
            </w:pPr>
            <w:r>
              <w:rPr>
                <w:sz w:val="16"/>
              </w:rPr>
            </w:r>
            <w:r>
              <w:rPr>
                <w:sz w:val="16"/>
              </w:rPr>
              <w:t>按新主线重写</w:t>
            </w:r>
          </w:p>
        </w:tc>
        <w:tc>
          <w:tcPr>
            <w:tcW w:type="dxa" w:w="3264"/>
          </w:tcPr>
          <w:p>
            <w:pPr>
              <w:spacing w:after="0"/>
            </w:pPr>
            <w:r>
              <w:rPr>
                <w:sz w:val="16"/>
              </w:rPr>
            </w:r>
            <w:r>
              <w:rPr>
                <w:sz w:val="16"/>
              </w:rPr>
              <w:t>7</w:t>
            </w:r>
          </w:p>
        </w:tc>
      </w:tr>
      <w:tr>
        <w:tc>
          <w:tcPr>
            <w:tcW w:type="dxa" w:w="3264"/>
          </w:tcPr>
          <w:p>
            <w:pPr>
              <w:spacing w:after="0"/>
            </w:pPr>
            <w:r>
              <w:rPr>
                <w:sz w:val="16"/>
              </w:rPr>
            </w:r>
            <w:r>
              <w:rPr>
                <w:sz w:val="16"/>
              </w:rPr>
              <w:t>Funding / CRediT 占位</w:t>
            </w:r>
          </w:p>
        </w:tc>
        <w:tc>
          <w:tcPr>
            <w:tcW w:type="dxa" w:w="3264"/>
          </w:tcPr>
          <w:p>
            <w:pPr>
              <w:spacing w:after="0"/>
            </w:pPr>
            <w:r>
              <w:rPr>
                <w:sz w:val="16"/>
              </w:rPr>
            </w:r>
            <w:r>
              <w:rPr>
                <w:sz w:val="16"/>
              </w:rPr>
              <w:t>必须由作者填写</w:t>
            </w:r>
          </w:p>
        </w:tc>
        <w:tc>
          <w:tcPr>
            <w:tcW w:type="dxa" w:w="3264"/>
          </w:tcPr>
          <w:p>
            <w:pPr>
              <w:spacing w:after="0"/>
            </w:pPr>
            <w:r>
              <w:rPr>
                <w:sz w:val="16"/>
              </w:rPr>
            </w:r>
            <w:r>
              <w:rPr>
                <w:sz w:val="16"/>
              </w:rPr>
              <w:t>声明</w:t>
            </w:r>
          </w:p>
        </w:tc>
      </w:tr>
    </w:tbl>
    <w:p>
      <w:pPr>
        <w:spacing w:after="40"/>
      </w:pPr>
    </w:p>
    <w:p>
      <w:pPr>
        <w:pStyle w:val="Heading1"/>
      </w:pPr>
      <w:r>
        <w:t>八、执行顺序</w:t>
      </w:r>
    </w:p>
    <w:p>
      <w:pPr>
        <w:pStyle w:val="ListNumber"/>
        <w:numPr>
          <w:ilvl w:val="0"/>
          <w:numId w:val="13"/>
        </w:numPr>
      </w:pPr>
      <w:r>
        <w:t>确认主线（第三、四节）：论文讲「协议敏感性主导模型选择」，RCCF 是被检验的机制，不是被推销的方法。</w:t>
      </w:r>
    </w:p>
    <w:p>
      <w:pPr>
        <w:pStyle w:val="ListNumber"/>
        <w:numPr>
          <w:ilvl w:val="0"/>
          <w:numId w:val="13"/>
        </w:numPr>
      </w:pPr>
      <w:r>
        <w:t>重建正文骨架（本次进行中）：按第五节写出中文重构稿，英文稿随后对齐。</w:t>
      </w:r>
    </w:p>
    <w:p>
      <w:pPr>
        <w:pStyle w:val="ListNumber"/>
        <w:numPr>
          <w:ilvl w:val="0"/>
          <w:numId w:val="13"/>
        </w:numPr>
      </w:pPr>
      <w:r>
        <w:t>补齐缺失图：图 1、图 2、图 3、图 4、图 5、图 6、图 7、图 9。</w:t>
      </w:r>
    </w:p>
    <w:p>
      <w:pPr>
        <w:pStyle w:val="ListNumber"/>
        <w:numPr>
          <w:ilvl w:val="0"/>
          <w:numId w:val="13"/>
        </w:numPr>
      </w:pPr>
      <w:r>
        <w:t>正文瘦身：19 张表压缩为 7 张，其余移入补充材料。</w:t>
      </w:r>
    </w:p>
    <w:p>
      <w:pPr>
        <w:pStyle w:val="ListNumber"/>
        <w:numPr>
          <w:ilvl w:val="0"/>
          <w:numId w:val="13"/>
        </w:numPr>
      </w:pPr>
      <w:r>
        <w:t>补齐参考文献：从 12 条扩到 45–60 条，覆盖五个主题并逐条标引。</w:t>
      </w:r>
    </w:p>
    <w:p>
      <w:pPr>
        <w:pStyle w:val="ListNumber"/>
        <w:numPr>
          <w:ilvl w:val="0"/>
          <w:numId w:val="13"/>
        </w:numPr>
      </w:pPr>
      <w:r>
        <w:t>作者信息与声明：Funding、CRediT、通信作者、单位、ORCID（必须由你本人提供真实信息）。</w:t>
      </w:r>
    </w:p>
    <w:p>
      <w:pPr>
        <w:pStyle w:val="ListNumber"/>
        <w:numPr>
          <w:ilvl w:val="0"/>
          <w:numId w:val="13"/>
        </w:numPr>
      </w:pPr>
      <w:r>
        <w:t>投稿前核查：目标期刊模板、图件分辨率（≥300 dpi）、参考文献格式、补充材料清单。</w:t>
      </w:r>
    </w:p>
    <w:p>
      <w:pPr>
        <w:pStyle w:val="Heading1"/>
      </w:pPr>
      <w:r>
        <w:t>九、如果导师坚持要「算法创新型」论文</w:t>
      </w:r>
    </w:p>
    <w:p>
      <w:r>
        <w:t>当前证据不支持算法优势主张。若坚持算法创新，需要的是</w:t>
      </w:r>
      <w:r>
        <w:rPr>
          <w:b/>
        </w:rPr>
        <w:t>新增研究</w:t>
      </w:r>
      <w:r>
        <w:t>而不是改写：</w:t>
      </w:r>
    </w:p>
    <w:p>
      <w:pPr>
        <w:pStyle w:val="ListNumber"/>
        <w:numPr>
          <w:ilvl w:val="0"/>
          <w:numId w:val="14"/>
        </w:numPr>
      </w:pPr>
      <w:r>
        <w:t>提出真正的新机制。失效原因已定位（专家高度相关 → 权重熵 0.99998 → 预测分歧 0），可行方向是</w:t>
      </w:r>
      <w:r>
        <w:rPr>
          <w:b/>
        </w:rPr>
        <w:t>显式强制专家去相关</w:t>
      </w:r>
      <w:r>
        <w:t>或</w:t>
      </w:r>
      <w:r>
        <w:rPr>
          <w:b/>
        </w:rPr>
        <w:t>基于分歧触发而非全样本加权</w:t>
      </w:r>
      <w:r>
        <w:t>。</w:t>
      </w:r>
    </w:p>
    <w:p>
      <w:pPr>
        <w:pStyle w:val="ListNumber"/>
        <w:numPr>
          <w:ilvl w:val="0"/>
          <w:numId w:val="14"/>
        </w:numPr>
      </w:pPr>
      <w:r>
        <w:t>预注册假设与判定阈值，避免事后挑选。</w:t>
      </w:r>
    </w:p>
    <w:p>
      <w:pPr>
        <w:pStyle w:val="ListNumber"/>
        <w:numPr>
          <w:ilvl w:val="0"/>
          <w:numId w:val="14"/>
        </w:numPr>
      </w:pPr>
      <w:r>
        <w:t>三个数据集上做 5×3 嵌套交叉验证，报告配对效应量与多重比较校正。</w:t>
      </w:r>
    </w:p>
    <w:p>
      <w:pPr>
        <w:pStyle w:val="ListNumber"/>
        <w:numPr>
          <w:ilvl w:val="0"/>
          <w:numId w:val="14"/>
        </w:numPr>
      </w:pPr>
      <w:r>
        <w:t>复杂度分析与消融矩阵（专家数、去相关强度、触发比例）。</w:t>
      </w:r>
    </w:p>
    <w:p>
      <w:pPr>
        <w:pStyle w:val="ListNumber"/>
        <w:numPr>
          <w:ilvl w:val="0"/>
          <w:numId w:val="14"/>
        </w:numPr>
      </w:pPr>
      <w:r>
        <w:t>与 XGBoost、LightGBM、ExtraTrees 在同等调参预算下比较。</w:t>
      </w:r>
    </w:p>
    <w:p>
      <w:r>
        <w:t>预期工作量约 4–8 周，且结果仍可能为阴性。现有数据最稳妥的产出是本方案建议的「协议与边界」研究。</w:t>
      </w:r>
    </w:p>
    <w:sectPr w:rsidR="00FC693F" w:rsidRPr="0006063C" w:rsidSect="00034616">
      <w:pgSz w:w="12240" w:h="15840"/>
      <w:pgMar w:top="1296" w:right="1224" w:bottom="1296" w:left="1224"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