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：第一至第二十轮的逐轮记录、发现的问题与处置方式。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〇、第二十轮补充：现代语料阶梯（2026-10-06）</w:t>
      </w:r>
    </w:p>
    <w:p>
      <w:r>
        <w:t>本轮把「主语料换成现代语料」的验证从单点扩到规模档位、分布位移与机制分解，原先列在「语料陈旧」「规模不足」「只有相关性证据」三条下的缺口均已闭环：</w:t>
      </w:r>
    </w:p>
    <w:p>
      <w:pPr>
        <w:pStyle w:val="ListBullet"/>
      </w:pPr>
      <w:r>
        <w:rPr>
          <w:b/>
        </w:rPr>
        <w:t>语料陈旧</w:t>
      </w:r>
      <w:r>
        <w:t>：17 个语料覆盖 1998–2026，其中 2020 年后 12 个、2025 年 4 个、2026 年 3 个；</w:t>
      </w:r>
    </w:p>
    <w:p>
      <w:pPr>
        <w:pStyle w:val="ListBullet"/>
      </w:pPr>
      <w:r>
        <w:rPr>
          <w:b/>
        </w:rPr>
        <w:t>规模不足</w:t>
      </w:r>
      <w:r>
        <w:t>：CIC-IoT-2023 到 246 万训练行、Gotham-2025 到 1 425 万训练行 /719 万测试行，-0.005533 的劣势未复现；</w:t>
      </w:r>
    </w:p>
    <w:p>
      <w:pPr>
        <w:pStyle w:val="ListBullet"/>
      </w:pPr>
      <w:r>
        <w:rPr>
          <w:b/>
        </w:rPr>
        <w:t>分布位移</w:t>
      </w:r>
      <w:r>
        <w:t>：Gotham 逐设备留出（12/78）与 6TiSCHSet 逐运行留出（12/122）下的两臂差分别为 +0.000000 与 +0.000123；</w:t>
      </w:r>
    </w:p>
    <w:p>
      <w:pPr>
        <w:pStyle w:val="ListBullet"/>
      </w:pPr>
      <w:r>
        <w:rPr>
          <w:b/>
        </w:rPr>
        <w:t>机制解释</w:t>
      </w:r>
      <w:r>
        <w:t>：边距上界（Gotham 改判 0 行）、权重机制（树权重 0.0091–0.0102）与多样性剂量—反应（r = 0.744）三条证据链到位；</w:t>
      </w:r>
    </w:p>
    <w:p>
      <w:pPr>
        <w:pStyle w:val="ListBullet"/>
      </w:pPr>
      <w:r>
        <w:rPr>
          <w:b/>
        </w:rPr>
        <w:t>可复现性</w:t>
      </w:r>
      <w:r>
        <w:t>：</w:t>
      </w:r>
      <w:r>
        <w:rPr>
          <w:rFonts w:ascii="Consolas" w:hAnsi="Consolas"/>
        </w:rPr>
        <w:t>docs/ladder_scripts_index.md</w:t>
      </w:r>
      <w:r>
        <w:t xml:space="preserve"> 给出这一批 20 个脚本的索引与运行顺序。</w:t>
      </w:r>
    </w:p>
    <w:p>
      <w:r>
        <w:t>仍未闭合的只有作者输入项（署名与 CRediT、基金与利益冲突、母语润色、期刊模板排版）。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，17 331 词、12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