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68 项检查中 64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：50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中英各 45/45 全覆盖，抽查 21 条零失配；</w:t>
            </w:r>
            <w:r>
              <w:rPr>
                <w:b/>
                <w:sz w:val="16"/>
              </w:rPr>
              <w:t>45 条 DOI 已全部通过 Crossref 核验</w:t>
            </w:r>
            <w:r>
              <w:rPr>
                <w:sz w:val="16"/>
              </w:rPr>
              <w:t>（1 条补全、10 条确认为 PMLR/NeurIPS/JMLR/USENIX 无 DOI 并显式标注），待核验占位符清零（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v1.10.0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节新增覆盖范围论证（三个采集时期、三种特征提取方式、三套标签体系、各自的已知缺陷），并说明第四个数据集的最大增量价值所在；覆盖矩阵见补充材料 S25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12,761 词（整篇含参考文献）、11 图、7 主表；中文 35,338 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0.92–0.94；ExtraTrees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507 : 中文 507，集合完全一致；该检查已接入验证闸门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83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v1.10.0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补充材料_S01_S26/</w:t>
      </w:r>
      <w:r>
        <w:t xml:space="preserve">：26 条目、58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118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118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</w:t>
            </w:r>
            <w:r>
              <w:rPr>
                <w:b/>
                <w:sz w:val="16"/>
              </w:rPr>
              <w:t>尚余排版项</w:t>
            </w:r>
            <w:r>
              <w:rPr>
                <w:sz w:val="16"/>
              </w:rPr>
              <w:t>：① 套用 JISA 官方模板（单栏）；② 用 Word 公式编辑器的 LaTeX 模式把 5 个公式从 LaTeX 源码转为原生公式；③ 表格改为仅横线（本刊要求避免竖线）；④ 填入作者与单位信息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：45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68 项检查中 64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署名、单位、通信作者、ORCID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目录内实为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补充材料_S01_S26/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