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。我们在同一批数据上测量四类差异来源并给出量级：聚合策略（0.0005）、特征视图（+0.0021）、类别先验（+0.0725）、去重顺序（至多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 [无 DOI；NeurIPS 会议论文集]</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 [无 DOI；NeurIPS 会议论文集]</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0.00022（log-odds），说明几乎每一行上各专家被赋予的可靠性几乎相同。此前的纯定义式表述使用归一化权重熵：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 [无 DOI；NeurIPS 会议论文集]</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模型</w:t>
            </w:r>
          </w:p>
        </w:tc>
        <w:tc>
          <w:tcPr>
            <w:tcW w:type="dxa" w:w="1088"/>
          </w:tcPr>
          <w:p>
            <w:pPr>
              <w:spacing w:after="0"/>
            </w:pPr>
            <w:r>
              <w:rPr>
                <w:sz w:val="16"/>
              </w:rPr>
            </w:r>
            <w:r>
              <w:rPr>
                <w:sz w:val="16"/>
              </w:rPr>
              <w:t>准确率</w:t>
            </w:r>
          </w:p>
        </w:tc>
        <w:tc>
          <w:tcPr>
            <w:tcW w:type="dxa" w:w="1088"/>
          </w:tcPr>
          <w:p>
            <w:pPr>
              <w:spacing w:after="0"/>
            </w:pPr>
            <w:r>
              <w:rPr>
                <w:sz w:val="16"/>
              </w:rPr>
            </w:r>
            <w:r>
              <w:rPr>
                <w:sz w:val="16"/>
              </w:rPr>
              <w:t>平衡准确率</w:t>
            </w:r>
          </w:p>
        </w:tc>
        <w:tc>
          <w:tcPr>
            <w:tcW w:type="dxa" w:w="1088"/>
          </w:tcPr>
          <w:p>
            <w:pPr>
              <w:spacing w:after="0"/>
            </w:pPr>
            <w:r>
              <w:rPr>
                <w:sz w:val="16"/>
              </w:rPr>
            </w:r>
            <w:r>
              <w:rPr>
                <w:sz w:val="16"/>
              </w:rPr>
              <w:t>Macro-F1</w:t>
            </w:r>
          </w:p>
        </w:tc>
        <w:tc>
          <w:tcPr>
            <w:tcW w:type="dxa" w:w="1088"/>
          </w:tcPr>
          <w:p>
            <w:pPr>
              <w:spacing w:after="0"/>
            </w:pPr>
            <w:r>
              <w:rPr>
                <w:sz w:val="16"/>
              </w:rPr>
            </w:r>
            <w:r>
              <w:rPr>
                <w:sz w:val="16"/>
              </w:rPr>
              <w:t>Log Loss</w:t>
            </w:r>
          </w:p>
        </w:tc>
        <w:tc>
          <w:tcPr>
            <w:tcW w:type="dxa" w:w="1088"/>
          </w:tcPr>
          <w:p>
            <w:pPr>
              <w:spacing w:after="0"/>
            </w:pPr>
            <w:r>
              <w:rPr>
                <w:sz w:val="16"/>
              </w:rPr>
            </w:r>
            <w:r>
              <w:rPr>
                <w:sz w:val="16"/>
              </w:rPr>
              <w:t>Brier</w:t>
            </w:r>
          </w:p>
        </w:tc>
        <w:tc>
          <w:tcPr>
            <w:tcW w:type="dxa" w:w="1088"/>
          </w:tcPr>
          <w:p>
            <w:pPr>
              <w:spacing w:after="0"/>
            </w:pPr>
            <w:r>
              <w:rPr>
                <w:sz w:val="16"/>
              </w:rPr>
            </w:r>
            <w:r>
              <w:rPr>
                <w:sz w:val="16"/>
              </w:rPr>
              <w:t>ECE</w:t>
            </w:r>
          </w:p>
        </w:tc>
        <w:tc>
          <w:tcPr>
            <w:tcW w:type="dxa" w:w="1088"/>
          </w:tcPr>
          <w:p>
            <w:pPr>
              <w:spacing w:after="0"/>
            </w:pPr>
            <w:r>
              <w:rPr>
                <w:sz w:val="16"/>
              </w:rPr>
            </w:r>
            <w:r>
              <w:rPr>
                <w:sz w:val="16"/>
              </w:rPr>
              <w:t>训练 (s)</w:t>
            </w:r>
          </w:p>
        </w:tc>
        <w:tc>
          <w:tcPr>
            <w:tcW w:type="dxa" w:w="1088"/>
          </w:tcPr>
          <w:p>
            <w:pPr>
              <w:spacing w:after="0"/>
            </w:pPr>
            <w:r>
              <w:rPr>
                <w:sz w:val="16"/>
              </w:rPr>
            </w:r>
            <w:r>
              <w:rPr>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我们另外考察了三类失效模式。监督信号被污染相对无害：把训练标签随机翻转 5% 与 10%，条件加权机制的 Macro-F1 相对下降仅 0.6% 与 1.3%，等权森林均为 0.8%。缺失测量更具破坏性——把 10% 的测试特征值替换为训练集中位数，两者分别下降 4.3% 与 4.0%；而标定漂移在三者中最严重：给 20% 的特征列加上训练值域的 1%，两者分别下降 17.2% 与 18.8%。按全部扰动的严重程度排序，</w:t>
      </w:r>
      <w:r>
        <w:rPr>
          <w:b/>
        </w:rPr>
        <w:t>特征值本身的连续污染占主导</w:t>
      </w:r>
      <w:r>
        <w:t>（1% 高斯噪声 43.3%、标定漂移 17–19%、10% 缺失值 4%），而监督被污染的危害小一个数量级（0.6–1.3%）。这一排序具有实践意义：数据集批评多聚焦于标签噪声，而对测量漂移关注不足。这三类条件在单个种子上评测，作为探索性诊断报告。</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 [无 DOI；NeurIPS 会议论文集]</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v1.5.0，标签 v1.5.0）。原始数据集不随论文分发；论文记录来源地址、检索日期、版本快照与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