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73/73 全覆盖，抽查 21 条零失配；73 条条目中 </w:t>
            </w:r>
            <w:r>
              <w:rPr>
                <w:b/>
                <w:sz w:val="16"/>
              </w:rPr>
              <w:t>60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13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9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19,824 词（整篇含参考文献）、12 图、9 主表；中文 55,024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847 : 中文 847，集合完全一致；该检查已接入验证闸门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标题现为「</w:t>
            </w:r>
            <w:r>
              <w:rPr>
                <w:b/>
                <w:sz w:val="16"/>
              </w:rPr>
              <w:t>总体构造</w:t>
            </w:r>
            <w:r>
              <w:rPr>
                <w:sz w:val="16"/>
              </w:rPr>
              <w:t>而非聚合规则决定集成增益」。该主张由三级规模阶梯支撑：取消上限使两分支差值移动 0.004396，约为聚合效应 0.0005 的九倍，并使绝对 Macro-F1 下降约 0.10。标题未把原因归于规模本身：5.10 节明确报告现代语料扩到 14 250 000 行时两臂仅差 0.000009。标题也未主张其超过模型族差异；5.7 节与结论仍写出模型族差异更大（0.0318–0.0916）（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：73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