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二、研究问题与缺口</w:t>
      </w:r>
    </w:p>
    <w:p>
      <w:r>
        <w:t>条件集成加权（按样本估计的可靠性权重融合多个专家）被广泛采用，但公开数据集上的性能差异极易被四类因素污染：重复样本、标签冲突、特征选择泄漏与类别先验。缺少受控验证时，「加权优于等权」既可能是机制效应，也可能只是协议副作用。本文把该假设放到一个可复现的协议下检验，并给出可证伪的判据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增益由专家多样性支配：分歧率 0.20%–0.36% 的专家集合 6 次运行增益全为 0，去相关集合 9 次运行全为正（回归斜率 0.0646，Pearson r = 0.749）。</w:t>
      </w:r>
    </w:p>
    <w:p>
      <w:pPr>
        <w:pStyle w:val="Heading2"/>
      </w:pPr>
      <w:r>
        <w:t>4.3 代价、开放集与外部基准</w:t>
      </w:r>
    </w:p>
    <w:p>
      <w:pPr>
        <w:pStyle w:val="ListBullet"/>
      </w:pPr>
      <w:r>
        <w:rPr>
          <w:b/>
        </w:rPr>
        <w:t>代价</w:t>
      </w:r>
      <w:r>
        <w:t>：同等总体下条件加权的训练耗时约为等权森林的 80 倍（截断总体），全语料为 175 倍；模型体积 4.1 倍、批量推理 5.3 倍；在误报漏报代价比 1–100 内没有代价敏感优势。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全部数字可由发布的逐样本预测重算（闸门 45 项自动复核）。</w:t>
      </w:r>
    </w:p>
    <w:p>
      <w:pPr>
        <w:pStyle w:val="Heading1"/>
      </w:pPr>
      <w:r>
        <w:t>八、引用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