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44 项通过、10 项部分通过、5 项缺失</w:t>
      </w:r>
      <w:r>
        <w:t>。缺失项全部集中在「需外部输入或流程性工作」（母语润色、容器化、CI、图形摘要与投稿信、统计功效），不涉及数据或论证本身的正确性。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>：中英各 45/45 全覆盖；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条零失配。</w:t>
            </w:r>
            <w:r>
              <w:rPr>
                <w:b/>
                <w:sz w:val="16"/>
              </w:rPr>
              <w:t>但 13 条 DOI 仍标「待核验」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代码可用性声明属实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声明版本确实存在且含全部产物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main</w:t>
            </w:r>
            <w:r>
              <w:rPr>
                <w:sz w:val="16"/>
              </w:rPr>
              <w:t xml:space="preserve"> 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 xml:space="preserve"> 指向同一提交；两个 390 MB 归档包已加入 </w:t>
            </w:r>
            <w:r>
              <w:rPr>
                <w:rFonts w:ascii="Consolas" w:hAnsi="Consolas"/>
                <w:sz w:val="16"/>
              </w:rPr>
              <w:t>.gitignore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属"协议/边界"型贡献而非新算法。评审口味依赖期刊定位，</w:t>
            </w:r>
            <w:r>
              <w:rPr>
                <w:b/>
                <w:sz w:val="16"/>
              </w:rPr>
              <w:t>需与导师确认目标刊是否接受该定位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给出证明；命题 2 已显式化为可逐行计算的上界（99.91% 可证明不变）；</w:t>
            </w:r>
            <w:r>
              <w:rPr>
                <w:b/>
                <w:sz w:val="16"/>
              </w:rPr>
              <w:t>命题 3 仍为定义性陈述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个数据集，但 NSL-KDD/UNSW 为独立原生标签基准，</w:t>
            </w:r>
            <w:r>
              <w:rPr>
                <w:b/>
                <w:sz w:val="16"/>
              </w:rPr>
              <w:t>明确声明不构成跨数据集迁移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</w:t>
            </w:r>
            <w:r>
              <w:rPr>
                <w:b/>
                <w:sz w:val="16"/>
              </w:rPr>
              <w:t>缺对抗扰动、标签噪声、缺失值、漂移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有训练时间、单条延迟 P50/P95/P99；</w:t>
            </w:r>
            <w:r>
              <w:rPr>
                <w:b/>
                <w:sz w:val="16"/>
              </w:rPr>
              <w:t>缺内存、模型体积、吞吐率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TOST：合并 90% 区间 [−0.00290, +0.00550]，SESOI=0.01 下等价；SESOI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未做事后功效分析，无法说明 3 个种子能检出多大差异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3 个种子；重复划分 10 次；嵌套 5×3。</w:t>
            </w:r>
            <w:r>
              <w:rPr>
                <w:b/>
                <w:sz w:val="16"/>
              </w:rPr>
              <w:t>主种子数偏少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有配对效应量与相对差；</w:t>
            </w:r>
            <w:r>
              <w:rPr>
                <w:b/>
                <w:sz w:val="16"/>
              </w:rPr>
              <w:t>缺 Cohen's h / Cliff's 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英文稿为结构完整的草稿，未经母语编辑润色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篇幅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符合期刊惯例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词、11 图、7 主表；中文 31 868 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代码与环境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可获取、可重建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与清单一致且存在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文件、含索引与 SHA-256 校验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项单元测试通过；</w:t>
            </w:r>
            <w:r>
              <w:rPr>
                <w:rFonts w:ascii="Consolas" w:hAnsi="Consolas"/>
                <w:sz w:val="16"/>
              </w:rPr>
              <w:t>pytest.ini</w:t>
            </w:r>
            <w:r>
              <w:rPr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无 Dockerfile 或 conda 环境文件，仅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无 </w:t>
            </w:r>
            <w:r>
              <w:rPr>
                <w:rFonts w:ascii="Consolas" w:hAnsi="Consolas"/>
                <w:sz w:val="16"/>
              </w:rPr>
              <w:t>.github/workflows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现有 </w:t>
            </w:r>
            <w:r>
              <w:rPr>
                <w:rFonts w:ascii="Consolas" w:hAnsi="Consolas"/>
                <w:sz w:val="16"/>
              </w:rPr>
              <w:t>Graphical_Abstract_JISA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cover_letter_template_en</w:t>
            </w:r>
            <w:r>
              <w:rPr>
                <w:sz w:val="16"/>
              </w:rPr>
              <w:t xml:space="preserve"> 均为旧定位产物；未按新主线重做，也尚未套用目标期刊模板</w:t>
            </w:r>
          </w:p>
        </w:tc>
      </w:tr>
    </w:tbl>
    <w:p>
      <w:pPr>
        <w:spacing w:after="40"/>
      </w:pPr>
    </w:p>
    <w:p>
      <w:pPr>
        <w:pStyle w:val="Heading1"/>
      </w:pPr>
      <w:r>
        <w:t>自查结论与行动清单</w:t>
      </w:r>
    </w:p>
    <w:p>
      <w:pPr>
        <w:pStyle w:val="Heading2"/>
      </w:pPr>
      <w:r>
        <w:t>缺失项（5 项，均不影响数据与论证正确性）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是否需你参与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用现有三种子方差做事后功效计算，或扩至 10 种子后重算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送专业润色，或逐章人工改写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是（需确认是否付费润色）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编写 Dockerfile 与 conda-lock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添加 GitHub Actions 跑 </w:t>
            </w:r>
            <w:r>
              <w:rPr>
                <w:rFonts w:ascii="Consolas" w:hAnsi="Consolas"/>
                <w:sz w:val="16"/>
              </w:rPr>
              <w:t>pytest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图形摘要、投稿信、期刊模板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按新主线重做，需先确认目标期刊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部分是</w:t>
            </w:r>
          </w:p>
        </w:tc>
      </w:tr>
    </w:tbl>
    <w:p>
      <w:pPr>
        <w:spacing w:after="40"/>
      </w:pPr>
    </w:p>
    <w:p>
      <w:pPr>
        <w:pStyle w:val="Heading2"/>
      </w:pPr>
      <w:r>
        <w:t>部分通过项（10 项）中最值得补的三条</w:t>
      </w:r>
    </w:p>
    <w:p>
      <w:pPr>
        <w:pStyle w:val="ListNumber"/>
      </w:pPr>
      <w:r>
        <w:rPr>
          <w:b/>
        </w:rPr>
        <w:t>C3 命题 3 仍为定义性陈述</w:t>
      </w:r>
      <w:r>
        <w:t>：可改写为「风险模型输出差的界 \(\epsilon\) 与权重熵偏离 1 的定量关系」，使其成为可检验命题。</w:t>
      </w:r>
    </w:p>
    <w:p>
      <w:pPr>
        <w:pStyle w:val="ListNumber"/>
      </w:pPr>
      <w:r>
        <w:rPr>
          <w:b/>
        </w:rPr>
        <w:t>D11 主种子仅 3 个</w:t>
      </w:r>
      <w:r>
        <w:t>：直接导致 D9 的严格边界（0.005）不成立。扩到 10 个种子可同时改善 D9、D10、D11 三项。</w:t>
      </w:r>
    </w:p>
    <w:p>
      <w:pPr>
        <w:pStyle w:val="ListNumber"/>
      </w:pPr>
      <w:r>
        <w:rPr>
          <w:b/>
        </w:rPr>
        <w:t>D7 资源画像不全</w:t>
      </w:r>
      <w:r>
        <w:t>：论文主张成本交换，只测时间不足以支撑，建议补内存、模型体积与吞吐。</w:t>
      </w:r>
    </w:p>
    <w:p>
      <w:pPr>
        <w:pStyle w:val="Heading2"/>
      </w:pPr>
      <w:r>
        <w:t>部分通过项中必须由你处理的</w:t>
      </w:r>
    </w:p>
    <w:p>
      <w:pPr>
        <w:pStyle w:val="ListBullet"/>
      </w:pPr>
      <w:r>
        <w:rPr>
          <w:b/>
        </w:rPr>
        <w:t>A3</w:t>
      </w:r>
      <w:r>
        <w:t>：13 条 DOI 核验（我可执行，但需联网逐条核对）。</w:t>
      </w:r>
    </w:p>
    <w:p>
      <w:pPr>
        <w:pStyle w:val="ListBullet"/>
      </w:pPr>
      <w:r>
        <w:rPr>
          <w:b/>
        </w:rPr>
        <w:t>A5 / A6</w:t>
      </w:r>
      <w:r>
        <w:t>：作者信息、基金、利益冲突、CRediT 内容（必须由你提供）。</w:t>
      </w:r>
    </w:p>
    <w:p>
      <w:pPr>
        <w:pStyle w:val="ListBullet"/>
      </w:pPr>
      <w:r>
        <w:rPr>
          <w:b/>
        </w:rPr>
        <w:t>B5</w:t>
      </w:r>
      <w:r>
        <w:t>：目标期刊定位确认（与导师讨论"协议与边界"型贡献的接受度）。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