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73/73 全覆盖，抽查 21 条零失配；73 条条目中 </w:t>
            </w:r>
            <w:r>
              <w:rPr>
                <w:b/>
                <w:sz w:val="16"/>
              </w:rPr>
              <w:t>60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13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18,297 词（整篇含参考文献）、12 图、8 主表；中文 51,990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771 : 中文 771，集合完全一致；该检查已接入验证闸门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：73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第二十轮补充证据（不改动 69 项计数）</w:t>
      </w:r>
      <w:r>
        <w:t xml:space="preserve">：现代语料阶梯四项结果（B/C 档、Gotham 每类 20 万与不限上限）与来源留出、特征预算扫描、机制套件已写入论文与扩展实验报告，并由 </w:t>
      </w:r>
      <w:r>
        <w:rPr>
          <w:rFonts w:ascii="Consolas" w:hAnsi="Consolas"/>
        </w:rPr>
        <w:t>scripts/add_modern_ladder_to_paper_v1.py</w:t>
      </w:r>
      <w:r>
        <w:t xml:space="preserve"> 断言源值；53 项闸门新增覆盖阶梯脚本、结果目录与数据真实性记账。据此，数据与论证类条目仍为全部通过，剩余四项部分通过仍集中在作者输入与排版。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