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协议敏感性主导模型选择：面向条件集成加权的泄漏受控网络入侵检测研究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一张把协议效应与模型效应分离的定量地图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校正，用于多重比较 [37]；（v）等价性检验（TOST）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对照</w:t>
            </w:r>
          </w:p>
        </w:tc>
        <w:tc>
          <w:tcPr>
            <w:tcW w:type="dxa" w:w="979"/>
          </w:tcPr>
          <w:p>
            <w:pPr>
              <w:spacing w:after="0"/>
            </w:pPr>
            <w:r>
              <w:rPr>
                <w:sz w:val="16"/>
              </w:rPr>
            </w:r>
            <w:r>
              <w:rPr>
                <w:b/>
                <w:sz w:val="16"/>
              </w:rPr>
              <w:t>平均差</w:t>
            </w:r>
          </w:p>
        </w:tc>
        <w:tc>
          <w:tcPr>
            <w:tcW w:type="dxa" w:w="979"/>
          </w:tcPr>
          <w:p>
            <w:pPr>
              <w:spacing w:after="0"/>
            </w:pPr>
            <w:r>
              <w:rPr>
                <w:sz w:val="16"/>
              </w:rPr>
            </w:r>
            <w:r>
              <w:rPr>
                <w:b/>
                <w:sz w:val="16"/>
              </w:rPr>
              <w:t>标准差</w:t>
            </w:r>
          </w:p>
        </w:tc>
        <w:tc>
          <w:tcPr>
            <w:tcW w:type="dxa" w:w="979"/>
          </w:tcPr>
          <w:p>
            <w:pPr>
              <w:spacing w:after="0"/>
            </w:pPr>
            <w:r>
              <w:rPr>
                <w:sz w:val="16"/>
              </w:rPr>
            </w:r>
            <w:r>
              <w:rPr>
                <w:b/>
                <w:sz w:val="16"/>
              </w:rPr>
              <w:t>种子级 95% 区间</w:t>
            </w:r>
          </w:p>
        </w:tc>
        <w:tc>
          <w:tcPr>
            <w:tcW w:type="dxa" w:w="979"/>
          </w:tcPr>
          <w:p>
            <w:pPr>
              <w:spacing w:after="0"/>
            </w:pPr>
            <w:r>
              <w:rPr>
                <w:sz w:val="16"/>
              </w:rPr>
            </w:r>
            <w:r>
              <w:rPr>
                <w:b/>
                <w:sz w:val="16"/>
              </w:rPr>
              <w:t>种子级 90% 区间</w:t>
            </w:r>
          </w:p>
        </w:tc>
        <w:tc>
          <w:tcPr>
            <w:tcW w:type="dxa" w:w="979"/>
          </w:tcPr>
          <w:p>
            <w:pPr>
              <w:spacing w:after="0"/>
            </w:pPr>
            <w:r>
              <w:rPr>
                <w:sz w:val="16"/>
              </w:rPr>
            </w:r>
            <w:r>
              <w:rPr>
                <w:b/>
                <w:sz w:val="16"/>
              </w:rPr>
              <w:t>SESOI = 0.005</w:t>
            </w:r>
          </w:p>
        </w:tc>
        <w:tc>
          <w:tcPr>
            <w:tcW w:type="dxa" w:w="979"/>
          </w:tcPr>
          <w:p>
            <w:pPr>
              <w:spacing w:after="0"/>
            </w:pPr>
            <w:r>
              <w:rPr>
                <w:sz w:val="16"/>
              </w:rPr>
            </w:r>
            <w:r>
              <w:rPr>
                <w:b/>
                <w:sz w:val="16"/>
              </w:rPr>
              <w:t>SESOI = 0.01</w:t>
            </w:r>
          </w:p>
        </w:tc>
        <w:tc>
          <w:tcPr>
            <w:tcW w:type="dxa" w:w="979"/>
          </w:tcPr>
          <w:p>
            <w:pPr>
              <w:spacing w:after="0"/>
            </w:pPr>
            <w:r>
              <w:rPr>
                <w:sz w:val="16"/>
              </w:rPr>
            </w:r>
            <w:r>
              <w:rPr>
                <w:b/>
                <w:sz w:val="16"/>
              </w:rPr>
              <w:t>最小可检出效应（80% 功效）</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支持 RCCF／基线的种子数</w:t>
            </w:r>
          </w:p>
        </w:tc>
      </w:tr>
      <w:tr>
        <w:tc>
          <w:tcPr>
            <w:tcW w:type="dxa" w:w="979"/>
          </w:tcPr>
          <w:p>
            <w:pPr>
              <w:spacing w:after="0"/>
            </w:pPr>
            <w:r>
              <w:rPr>
                <w:sz w:val="16"/>
              </w:rPr>
            </w:r>
            <w:r>
              <w:rPr>
                <w:sz w:val="16"/>
              </w:rPr>
              <w:t>RCCF − 等权 χ² 森林</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全特征等权森林</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极端随机树（χ²）</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不等价</w:t>
            </w:r>
          </w:p>
        </w:tc>
        <w:tc>
          <w:tcPr>
            <w:tcW w:type="dxa" w:w="979"/>
          </w:tcPr>
          <w:p>
            <w:pPr>
              <w:spacing w:after="0"/>
            </w:pPr>
            <w:r>
              <w:rPr>
                <w:sz w:val="16"/>
              </w:rPr>
            </w:r>
            <w:r>
              <w:rPr>
                <w:sz w:val="16"/>
              </w:rPr>
              <w:t>不等价</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RQ3：协议效应比模型效应大一个数量级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假设被证伪：协议不可交换，而且协议效应的量级压过模型效应。</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协议效应主导模型效应。</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报告什么协议比报告什么模型更能决定结论</w:t>
      </w:r>
      <w:r>
        <w:t>。</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v1.3.0，标签 v1.3.0）。原始数据集不随论文分发；论文记录来源地址、检索日期、版本快照与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978-0-412-04231-7。[无 DOI]</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