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Protocol Sensitivity Dominates Aggregation-Rule Differences in Flow-Based Network Intrusion Detection: A Leakage-Controlled Study of Conditional Ensemble Weighting</w:t>
      </w:r>
    </w:p>
    <w:p>
      <w:pPr>
        <w:pStyle w:val="Heading1"/>
      </w:pPr>
      <w:r>
        <w:t>Abstract</w:t>
      </w:r>
    </w:p>
    <w:p>
      <w:r>
        <w:t>Reported performance differences between intrusion-detection models are highly sensitive to duplicate flows, conflicting labels, feature leakage and class priors. We test a widely adopted but rarely validated assumption: that fusing random-forest experts with sample-specific reliability weights (RCCF) beats equal voting. Under one leakage-controlled protocol we build a 53,237-flow natural-prior population and a 3,365-flow balanced control from CIC-IDS2017, add NSL-KDD and UNSW-NB15 as independent benchmarks, and compare four feature views over ten seeds. On the natural-prior protocol the two models differ by -0.000456 Macro-F1, with five seeds up and five down; the seed-level 90% interval [-0.00112, +0.00021] and the test-row paired bootstrap interval [-0.00425, +0.00338] both lie inside equivalence margins of 0.005 and 0.01. The four experts disagree on no test row and the learned weights have a normalised entropy of 0.99998, while class prior and deduplication order move Macro-F1 by +0.0725 and up to +0.0060. Three identifiability conditions are derived; one becomes a row-wise bound: 99.91% of the 23,958 test rows are provably invariant, with a median decision margin 3,469 to 5,038 times that bound. All 108 gate configurations yield six distinct validation scores, excluding insufficient tuning; the gain is governed by expert diversity (slope 0.0646, r = 0.749). The mechanism is 4.1 times larger and 4.6 times lower in throughput than one forest, with no cost-sensitive advantage from 1:1 to 100:1. We contribute a reusable leakage-controlled protocol, an identifiability boundary and a quantitative map separating protocol effects from aggregation-rule differences; the evidence supports neither superiority nor production readiness.</w:t>
      </w:r>
    </w:p>
    <w:p>
      <w:r>
        <w:rPr>
          <w:b/>
        </w:rPr>
        <w:t>Keywords:</w:t>
      </w:r>
      <w:r>
        <w:t xml:space="preserve"> network intrusion detection; ensemble learning; conditional weighting; data leakage; identifiability; reproducibility; CIC-IDS2017</w:t>
      </w:r>
    </w:p>
    <w:p>
      <w:pPr>
        <w:pStyle w:val="Heading1"/>
      </w:pPr>
      <w:r>
        <w:t>1. Introduction</w:t>
      </w:r>
    </w:p>
    <w:p>
      <w:pPr>
        <w:pStyle w:val="Heading2"/>
      </w:pPr>
      <w:r>
        <w:t>1.1 Background and motivation</w:t>
      </w:r>
    </w:p>
    <w:p>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[22,23].</w:t>
      </w:r>
    </w:p>
    <w:p>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[18-20]. The natural scientific question is therefore: </w:t>
      </w:r>
      <w:r>
        <w:rPr>
          <w:b/>
        </w:rPr>
        <w:t>once these factors are controlled, how much of the widely reported improvement survives?</w:t>
      </w:r>
    </w:p>
    <w:p>
      <w:pPr>
        <w:pStyle w:val="Heading2"/>
      </w:pPr>
      <w:r>
        <w:t>1.2 Three untested assumptions</w:t>
      </w:r>
    </w:p>
    <w:p>
      <w:r>
        <w:t>We focus this question on one concrete object. A common recipe in the literature is to train several ensemble models over different feature views or hyper-parameters and fuse them with sample-specific weights. The recipe carries three assumptions, denoted H1-H3.</w:t>
      </w:r>
    </w:p>
    <w:p>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r>
        <w:rPr>
          <w:b/>
        </w:rPr>
        <w:t>H3 (protocol independence).</w:t>
      </w:r>
      <w:r>
        <w:t xml:space="preserve"> These conclusions are insensitive to deduplication order, class priors and split construction, so results can be compared across papers.</w:t>
      </w:r>
    </w:p>
    <w:p>
      <w:r>
        <w:t>H3 is the most consequential because, in the literature, it is never stated explicitly, yet it underpins every cross-paper comparison of the form "model X reaches 99% on CIC-IDS2017".</w:t>
      </w:r>
    </w:p>
    <w:p>
      <w:pPr>
        <w:pStyle w:val="Heading2"/>
      </w:pPr>
      <w:r>
        <w:t>1.3 Research questions</w:t>
      </w:r>
    </w:p>
    <w:p>
      <w:r>
        <w:t>Four research questions structure the paper. Each maps to exactly one results subsection.</w:t>
      </w:r>
    </w:p>
    <w:p>
      <w:r>
        <w:rPr>
          <w:b/>
        </w:rPr>
        <w:t>RQ1 (feature selection).</w:t>
      </w:r>
      <w:r>
        <w:t xml:space="preserve"> Does training-side filter selection reduce dimensionality without a material Macro-F1 loss?</w:t>
      </w:r>
    </w:p>
    <w:p>
      <w:r>
        <w:rPr>
          <w:b/>
        </w:rPr>
        <w:t>RQ2 (weighting gain).</w:t>
      </w:r>
      <w:r>
        <w:t xml:space="preserve"> Does sample-conditional fusion outperform equal voting under the same feature view? If the two produce identical predictions, why is the mechanism inert?</w:t>
      </w:r>
    </w:p>
    <w:p>
      <w:r>
        <w:rPr>
          <w:b/>
        </w:rPr>
        <w:t>RQ3 (protocol robustness).</w:t>
      </w:r>
      <w:r>
        <w:t xml:space="preserve"> Are the conclusions robust to deduplication order, class priors, repeated splits and tuning budgets?</w:t>
      </w:r>
    </w:p>
    <w:p>
      <w:r>
        <w:rPr>
          <w:b/>
        </w:rPr>
        <w:t>RQ4 (external validity).</w:t>
      </w:r>
      <w:r>
        <w:t xml:space="preserve"> Do the conclusions survive beyond CIC-IDS2017, on NSL-KDD, UNSW-NB15 and file-level stress tests?</w:t>
      </w:r>
    </w:p>
    <w:p>
      <w:pPr>
        <w:pStyle w:val="Heading2"/>
      </w:pPr>
      <w:r>
        <w:t>1.4 Contributions</w:t>
      </w:r>
    </w:p>
    <w:p>
      <w:r>
        <w:t>The contributions are ordered by evidential strength.</w:t>
      </w:r>
    </w:p>
    <w:p>
      <w:pPr>
        <w:pStyle w:val="ListNumbe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pPr>
        <w:pStyle w:val="ListNumbe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pPr>
        <w:pStyle w:val="ListNumbe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w:t>
      </w:r>
    </w:p>
    <w:p>
      <w:pPr>
        <w:pStyle w:val="ListNumbe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pPr>
        <w:pStyle w:val="Heading2"/>
      </w:pPr>
      <w:r>
        <w:t>1.5 Organisation</w:t>
      </w:r>
    </w:p>
    <w:p>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pPr>
        <w:pStyle w:val="Heading1"/>
      </w:pPr>
      <w:r>
        <w:t>2. Related Work and Positioning</w:t>
      </w:r>
    </w:p>
    <w:p>
      <w:pPr>
        <w:pStyle w:val="Heading2"/>
      </w:pPr>
      <w:r>
        <w:t>2.1 Public datasets and their evaluation hazards</w:t>
      </w:r>
    </w:p>
    <w:p>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r>
        <w:t>Several structural defects are documented [17].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[18,19]. These findings motivate H3: if protocol choices change conclusions, the protocol itself must become a reported and tested object. This position is part of a wider methodological critique of machine learning in security [20,21,24].</w:t>
      </w:r>
    </w:p>
    <w:p>
      <w:pPr>
        <w:pStyle w:val="Heading2"/>
      </w:pPr>
      <w:r>
        <w:t>2.2 Feature selection and leakage</w:t>
      </w:r>
    </w:p>
    <w:p>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r>
        <w:t>The difficulty is that these statistics depend on the label distribution. Fitting a selector before splitting leaks test-label information through the feature ranking. Such leakage is common and hard to detect from a methods paragraph [20]. Our protocol fits every selector inside the training partition and refits it inside each cross-fitting fold, so the selector is subject to the same information boundary as the model.</w:t>
      </w:r>
    </w:p>
    <w:p>
      <w:pPr>
        <w:pStyle w:val="Heading2"/>
      </w:pPr>
      <w:r>
        <w:t>2.3 Ensemble aggregation and adaptive weighting</w:t>
      </w:r>
    </w:p>
    <w:p>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r>
        <w:t>Implementations in the literature include validation-accuracy tree weighting, out-of-bag error weighting, meta-learners that predict sample-dependent weights, confidence-based weighting after probability calibration, and uncertainty-driven weighting in deep ensembles [8-11,29]. Such methods typically report gains on specific datasets, but rarely satisfy three conditions simultaneously: (i) all information used for weighting comes from the training and validation partitions; (ii) the equal-weight control uses the same feature view and tuning budget; and (iii) paired significance tests and repeated-split stability are reported. Without these, "weighting helps" cannot be separated from "this particular split helped".</w:t>
      </w:r>
    </w:p>
    <w:p>
      <w:r>
        <w:t>Recent open-set work adds extreme-value theory, prototype learning or autoencoder reconstruction error to construct rejection mechanisms [25,26,40,41]. Such methods optimise two objectives jointly - known-class discrimination and unknown-class rejection - and have a correspondingly different cost structure. We therefore report open-set behaviour as a diagnostic rather than folding it into the main conclusion.</w:t>
      </w:r>
    </w:p>
    <w:p>
      <w:pPr>
        <w:pStyle w:val="Heading2"/>
      </w:pPr>
      <w:r>
        <w:t>2.4 Probability quality, open-set rejection and deployment cost</w:t>
      </w:r>
    </w:p>
    <w:p>
      <w:r>
        <w:t>Hard-label metrics such as accuracy and Macro-F1 say nothing about probability quality. For alert ranking, risk scoring and human-in-the-loop triage, Log Loss, the Brier score and expected calibration error (ECE) matter more [27]. Two models with identical hard labels can differ substantially in calibration, so discriminative and probabilistic metrics must be reported separately [28,29].</w:t>
      </w:r>
    </w:p>
    <w:p>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pPr>
        <w:pStyle w:val="Heading2"/>
      </w:pPr>
      <w:r>
        <w:t>2.5 Gap and positioning</w:t>
      </w:r>
    </w:p>
    <w:p>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r>
        <w:rPr>
          <w:b/>
        </w:rPr>
        <w:t>Table 1. Related research families and the positioning of this study</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spacing w:after="0"/>
            </w:pPr>
            <w:r>
              <w:rPr>
                <w:sz w:val="16"/>
              </w:rPr>
            </w:r>
            <w:r>
              <w:rPr>
                <w:b/>
                <w:sz w:val="16"/>
              </w:rPr>
              <w:t>Family</w:t>
            </w:r>
          </w:p>
        </w:tc>
        <w:tc>
          <w:tcPr>
            <w:tcW w:type="dxa" w:w="1958"/>
          </w:tcPr>
          <w:p>
            <w:pPr>
              <w:spacing w:after="0"/>
            </w:pPr>
            <w:r>
              <w:rPr>
                <w:sz w:val="16"/>
              </w:rPr>
            </w:r>
            <w:r>
              <w:rPr>
                <w:b/>
                <w:sz w:val="16"/>
              </w:rPr>
              <w:t>Typical task</w:t>
            </w:r>
          </w:p>
        </w:tc>
        <w:tc>
          <w:tcPr>
            <w:tcW w:type="dxa" w:w="1958"/>
          </w:tcPr>
          <w:p>
            <w:pPr>
              <w:spacing w:after="0"/>
            </w:pPr>
            <w:r>
              <w:rPr>
                <w:sz w:val="16"/>
              </w:rPr>
            </w:r>
            <w:r>
              <w:rPr>
                <w:b/>
                <w:sz w:val="16"/>
              </w:rPr>
              <w:t>Fitting boundary of weighting information</w:t>
            </w:r>
          </w:p>
        </w:tc>
        <w:tc>
          <w:tcPr>
            <w:tcW w:type="dxa" w:w="1958"/>
          </w:tcPr>
          <w:p>
            <w:pPr>
              <w:spacing w:after="0"/>
            </w:pPr>
            <w:r>
              <w:rPr>
                <w:sz w:val="16"/>
              </w:rPr>
            </w:r>
            <w:r>
              <w:rPr>
                <w:b/>
                <w:sz w:val="16"/>
              </w:rPr>
              <w:t>Main claim type</w:t>
            </w:r>
          </w:p>
        </w:tc>
        <w:tc>
          <w:tcPr>
            <w:tcW w:type="dxa" w:w="1958"/>
          </w:tcPr>
          <w:p>
            <w:pPr>
              <w:spacing w:after="0"/>
            </w:pPr>
            <w:r>
              <w:rPr>
                <w:sz w:val="16"/>
              </w:rPr>
            </w:r>
            <w:r>
              <w:rPr>
                <w:b/>
                <w:sz w:val="16"/>
              </w:rPr>
              <w:t>Difference from this study</w:t>
            </w:r>
          </w:p>
        </w:tc>
      </w:tr>
      <w:tr>
        <w:tc>
          <w:tcPr>
            <w:tcW w:type="dxa" w:w="1958"/>
          </w:tcPr>
          <w:p>
            <w:pPr>
              <w:spacing w:after="0"/>
            </w:pPr>
            <w:r>
              <w:rPr>
                <w:sz w:val="16"/>
              </w:rPr>
            </w:r>
            <w:r>
              <w:rPr>
                <w:sz w:val="16"/>
              </w:rPr>
              <w:t>Classical IDS classifier comparisons</w:t>
            </w:r>
          </w:p>
        </w:tc>
        <w:tc>
          <w:tcPr>
            <w:tcW w:type="dxa" w:w="1958"/>
          </w:tcPr>
          <w:p>
            <w:pPr>
              <w:spacing w:after="0"/>
            </w:pPr>
            <w:r>
              <w:rPr>
                <w:sz w:val="16"/>
              </w:rPr>
            </w:r>
            <w:r>
              <w:rPr>
                <w:sz w:val="16"/>
              </w:rPr>
              <w:t>Closed-set multiclass</w:t>
            </w:r>
          </w:p>
        </w:tc>
        <w:tc>
          <w:tcPr>
            <w:tcW w:type="dxa" w:w="1958"/>
          </w:tcPr>
          <w:p>
            <w:pPr>
              <w:spacing w:after="0"/>
            </w:pPr>
            <w:r>
              <w:rPr>
                <w:sz w:val="16"/>
              </w:rPr>
            </w:r>
            <w:r>
              <w:rPr>
                <w:sz w:val="16"/>
              </w:rPr>
              <w:t>No weighting</w:t>
            </w:r>
          </w:p>
        </w:tc>
        <w:tc>
          <w:tcPr>
            <w:tcW w:type="dxa" w:w="1958"/>
          </w:tcPr>
          <w:p>
            <w:pPr>
              <w:spacing w:after="0"/>
            </w:pPr>
            <w:r>
              <w:rPr>
                <w:sz w:val="16"/>
              </w:rPr>
            </w:r>
            <w:r>
              <w:rPr>
                <w:sz w:val="16"/>
              </w:rPr>
              <w:t>Accuracy on one dataset</w:t>
            </w:r>
          </w:p>
        </w:tc>
        <w:tc>
          <w:tcPr>
            <w:tcW w:type="dxa" w:w="1958"/>
          </w:tcPr>
          <w:p>
            <w:pPr>
              <w:spacing w:after="0"/>
            </w:pPr>
            <w:r>
              <w:rPr>
                <w:sz w:val="16"/>
              </w:rPr>
            </w:r>
            <w:r>
              <w:rPr>
                <w:sz w:val="16"/>
              </w:rPr>
              <w:t>Duplicates and prior effects uncontrolled</w:t>
            </w:r>
          </w:p>
        </w:tc>
      </w:tr>
      <w:tr>
        <w:tc>
          <w:tcPr>
            <w:tcW w:type="dxa" w:w="1958"/>
          </w:tcPr>
          <w:p>
            <w:pPr>
              <w:spacing w:after="0"/>
            </w:pPr>
            <w:r>
              <w:rPr>
                <w:sz w:val="16"/>
              </w:rPr>
            </w:r>
            <w:r>
              <w:rPr>
                <w:sz w:val="16"/>
              </w:rPr>
              <w:t>Filter selection plus forest</w:t>
            </w:r>
          </w:p>
        </w:tc>
        <w:tc>
          <w:tcPr>
            <w:tcW w:type="dxa" w:w="1958"/>
          </w:tcPr>
          <w:p>
            <w:pPr>
              <w:spacing w:after="0"/>
            </w:pPr>
            <w:r>
              <w:rPr>
                <w:sz w:val="16"/>
              </w:rPr>
            </w:r>
            <w:r>
              <w:rPr>
                <w:sz w:val="16"/>
              </w:rPr>
              <w:t>Dimensionality reduction plus classification</w:t>
            </w:r>
          </w:p>
        </w:tc>
        <w:tc>
          <w:tcPr>
            <w:tcW w:type="dxa" w:w="1958"/>
          </w:tcPr>
          <w:p>
            <w:pPr>
              <w:spacing w:after="0"/>
            </w:pPr>
            <w:r>
              <w:rPr>
                <w:sz w:val="16"/>
              </w:rPr>
            </w:r>
            <w:r>
              <w:rPr>
                <w:sz w:val="16"/>
              </w:rPr>
              <w:t>Selector fitting position often unstated</w:t>
            </w:r>
          </w:p>
        </w:tc>
        <w:tc>
          <w:tcPr>
            <w:tcW w:type="dxa" w:w="1958"/>
          </w:tcPr>
          <w:p>
            <w:pPr>
              <w:spacing w:after="0"/>
            </w:pPr>
            <w:r>
              <w:rPr>
                <w:sz w:val="16"/>
              </w:rPr>
            </w:r>
            <w:r>
              <w:rPr>
                <w:sz w:val="16"/>
              </w:rPr>
              <w:t>Lower dimension at equal performance</w:t>
            </w:r>
          </w:p>
        </w:tc>
        <w:tc>
          <w:tcPr>
            <w:tcW w:type="dxa" w:w="1958"/>
          </w:tcPr>
          <w:p>
            <w:pPr>
              <w:spacing w:after="0"/>
            </w:pPr>
            <w:r>
              <w:rPr>
                <w:sz w:val="16"/>
              </w:rPr>
            </w:r>
            <w:r>
              <w:rPr>
                <w:sz w:val="16"/>
              </w:rPr>
              <w:t>Selector leakage rarely controlled</w:t>
            </w:r>
          </w:p>
        </w:tc>
      </w:tr>
      <w:tr>
        <w:tc>
          <w:tcPr>
            <w:tcW w:type="dxa" w:w="1958"/>
          </w:tcPr>
          <w:p>
            <w:pPr>
              <w:spacing w:after="0"/>
            </w:pPr>
            <w:r>
              <w:rPr>
                <w:sz w:val="16"/>
              </w:rPr>
            </w:r>
            <w:r>
              <w:rPr>
                <w:sz w:val="16"/>
              </w:rPr>
              <w:t>Meta-learned or uncertainty-driven weighting</w:t>
            </w:r>
          </w:p>
        </w:tc>
        <w:tc>
          <w:tcPr>
            <w:tcW w:type="dxa" w:w="1958"/>
          </w:tcPr>
          <w:p>
            <w:pPr>
              <w:spacing w:after="0"/>
            </w:pPr>
            <w:r>
              <w:rPr>
                <w:sz w:val="16"/>
              </w:rPr>
            </w:r>
            <w:r>
              <w:rPr>
                <w:sz w:val="16"/>
              </w:rPr>
              <w:t>Conditional aggregation</w:t>
            </w:r>
          </w:p>
        </w:tc>
        <w:tc>
          <w:tcPr>
            <w:tcW w:type="dxa" w:w="1958"/>
          </w:tcPr>
          <w:p>
            <w:pPr>
              <w:spacing w:after="0"/>
            </w:pPr>
            <w:r>
              <w:rPr>
                <w:sz w:val="16"/>
              </w:rPr>
            </w:r>
            <w:r>
              <w:rPr>
                <w:sz w:val="16"/>
              </w:rPr>
              <w:t>Weight model fitted jointly with predictor</w:t>
            </w:r>
          </w:p>
        </w:tc>
        <w:tc>
          <w:tcPr>
            <w:tcW w:type="dxa" w:w="1958"/>
          </w:tcPr>
          <w:p>
            <w:pPr>
              <w:spacing w:after="0"/>
            </w:pPr>
            <w:r>
              <w:rPr>
                <w:sz w:val="16"/>
              </w:rPr>
            </w:r>
            <w:r>
              <w:rPr>
                <w:sz w:val="16"/>
              </w:rPr>
              <w:t>Reported weighting gain</w:t>
            </w:r>
          </w:p>
        </w:tc>
        <w:tc>
          <w:tcPr>
            <w:tcW w:type="dxa" w:w="1958"/>
          </w:tcPr>
          <w:p>
            <w:pPr>
              <w:spacing w:after="0"/>
            </w:pPr>
            <w:r>
              <w:rPr>
                <w:sz w:val="16"/>
              </w:rPr>
            </w:r>
            <w:r>
              <w:rPr>
                <w:sz w:val="16"/>
              </w:rPr>
              <w:t>No equal-weight, equal-budget control or paired tests</w:t>
            </w:r>
          </w:p>
        </w:tc>
      </w:tr>
      <w:tr>
        <w:tc>
          <w:tcPr>
            <w:tcW w:type="dxa" w:w="1958"/>
          </w:tcPr>
          <w:p>
            <w:pPr>
              <w:spacing w:after="0"/>
            </w:pPr>
            <w:r>
              <w:rPr>
                <w:sz w:val="16"/>
              </w:rPr>
            </w:r>
            <w:r>
              <w:rPr>
                <w:sz w:val="16"/>
              </w:rPr>
              <w:t>Open-set and extreme-value rejection</w:t>
            </w:r>
          </w:p>
        </w:tc>
        <w:tc>
          <w:tcPr>
            <w:tcW w:type="dxa" w:w="1958"/>
          </w:tcPr>
          <w:p>
            <w:pPr>
              <w:spacing w:after="0"/>
            </w:pPr>
            <w:r>
              <w:rPr>
                <w:sz w:val="16"/>
              </w:rPr>
            </w:r>
            <w:r>
              <w:rPr>
                <w:sz w:val="16"/>
              </w:rPr>
              <w:t>Known plus unknown</w:t>
            </w:r>
          </w:p>
        </w:tc>
        <w:tc>
          <w:tcPr>
            <w:tcW w:type="dxa" w:w="1958"/>
          </w:tcPr>
          <w:p>
            <w:pPr>
              <w:spacing w:after="0"/>
            </w:pPr>
            <w:r>
              <w:rPr>
                <w:sz w:val="16"/>
              </w:rPr>
            </w:r>
            <w:r>
              <w:rPr>
                <w:sz w:val="16"/>
              </w:rPr>
              <w:t>Threshold depends on validation data</w:t>
            </w:r>
          </w:p>
        </w:tc>
        <w:tc>
          <w:tcPr>
            <w:tcW w:type="dxa" w:w="1958"/>
          </w:tcPr>
          <w:p>
            <w:pPr>
              <w:spacing w:after="0"/>
            </w:pPr>
            <w:r>
              <w:rPr>
                <w:sz w:val="16"/>
              </w:rPr>
            </w:r>
            <w:r>
              <w:rPr>
                <w:sz w:val="16"/>
              </w:rPr>
              <w:t>Unknown-class rejection metrics</w:t>
            </w:r>
          </w:p>
        </w:tc>
        <w:tc>
          <w:tcPr>
            <w:tcW w:type="dxa" w:w="1958"/>
          </w:tcPr>
          <w:p>
            <w:pPr>
              <w:spacing w:after="0"/>
            </w:pPr>
            <w:r>
              <w:rPr>
                <w:sz w:val="16"/>
              </w:rPr>
            </w:r>
            <w:r>
              <w:rPr>
                <w:sz w:val="16"/>
              </w:rPr>
              <w:t>Different objective and cost structure</w:t>
            </w:r>
          </w:p>
        </w:tc>
      </w:tr>
      <w:tr>
        <w:tc>
          <w:tcPr>
            <w:tcW w:type="dxa" w:w="1958"/>
          </w:tcPr>
          <w:p>
            <w:pPr>
              <w:spacing w:after="0"/>
            </w:pPr>
            <w:r>
              <w:rPr>
                <w:sz w:val="16"/>
              </w:rPr>
            </w:r>
            <w:r>
              <w:rPr>
                <w:sz w:val="16"/>
              </w:rPr>
              <w:t>This study</w:t>
            </w:r>
          </w:p>
        </w:tc>
        <w:tc>
          <w:tcPr>
            <w:tcW w:type="dxa" w:w="1958"/>
          </w:tcPr>
          <w:p>
            <w:pPr>
              <w:spacing w:after="0"/>
            </w:pPr>
            <w:r>
              <w:rPr>
                <w:sz w:val="16"/>
              </w:rPr>
            </w:r>
            <w:r>
              <w:rPr>
                <w:sz w:val="16"/>
              </w:rPr>
              <w:t>Controlled test of conditional weighting</w:t>
            </w:r>
          </w:p>
        </w:tc>
        <w:tc>
          <w:tcPr>
            <w:tcW w:type="dxa" w:w="1958"/>
          </w:tcPr>
          <w:p>
            <w:pPr>
              <w:spacing w:after="0"/>
            </w:pPr>
            <w:r>
              <w:rPr>
                <w:sz w:val="16"/>
              </w:rPr>
            </w:r>
            <w:r>
              <w:rPr>
                <w:sz w:val="16"/>
              </w:rPr>
              <w:t>Cross-fitted risk models, validation calibration, test used for diagnostics only</w:t>
            </w:r>
          </w:p>
        </w:tc>
        <w:tc>
          <w:tcPr>
            <w:tcW w:type="dxa" w:w="1958"/>
          </w:tcPr>
          <w:p>
            <w:pPr>
              <w:spacing w:after="0"/>
            </w:pPr>
            <w:r>
              <w:rPr>
                <w:sz w:val="16"/>
              </w:rPr>
            </w:r>
            <w:r>
              <w:rPr>
                <w:sz w:val="16"/>
              </w:rPr>
              <w:t>Gain magnitude, identifiability boundary, protocol sensitivity</w:t>
            </w:r>
          </w:p>
        </w:tc>
        <w:tc>
          <w:tcPr>
            <w:tcW w:type="dxa" w:w="1958"/>
          </w:tcPr>
          <w:p>
            <w:pPr>
              <w:spacing w:after="0"/>
            </w:pPr>
            <w:r>
              <w:rPr>
                <w:sz w:val="16"/>
              </w:rPr>
            </w:r>
            <w:r>
              <w:rPr>
                <w:sz w:val="16"/>
              </w:rPr>
              <w:t>Protocol is the primary variable; algorithmic superiority is not claimed</w:t>
            </w:r>
          </w:p>
        </w:tc>
      </w:tr>
    </w:tbl>
    <w:p>
      <w:pPr>
        <w:spacing w:after="40"/>
      </w:pPr>
    </w:p>
    <w:p>
      <w:pPr>
        <w:pStyle w:val="Heading1"/>
      </w:pPr>
      <w:r>
        <w:t>3. Data, Provenance and Protocol</w:t>
      </w:r>
    </w:p>
    <w:p>
      <w:pPr>
        <w:jc w:val="center"/>
      </w:pPr>
      <w:r>
        <w:drawing>
          <wp:inline xmlns:a="http://schemas.openxmlformats.org/drawingml/2006/main" xmlns:pic="http://schemas.openxmlformats.org/drawingml/2006/picture">
            <wp:extent cx="5760720" cy="2734826"/>
            <wp:docPr id="1" name="Picture 1"/>
            <wp:cNvGraphicFramePr>
              <a:graphicFrameLocks noChangeAspect="1"/>
            </wp:cNvGraphicFramePr>
            <a:graphic>
              <a:graphicData uri="http://schemas.openxmlformats.org/drawingml/2006/picture">
                <pic:pic>
                  <pic:nvPicPr>
                    <pic:cNvPr id="0" name="fig1_protocol_pipeline.png"/>
                    <pic:cNvPicPr/>
                  </pic:nvPicPr>
                  <pic:blipFill>
                    <a:blip r:embed="rId9"/>
                    <a:stretch>
                      <a:fillRect/>
                    </a:stretch>
                  </pic:blipFill>
                  <pic:spPr>
                    <a:xfrm>
                      <a:off x="0" y="0"/>
                      <a:ext cx="5760720" cy="2734826"/>
                    </a:xfrm>
                    <a:prstGeom prst="rect"/>
                  </pic:spPr>
                </pic:pic>
              </a:graphicData>
            </a:graphic>
          </wp:inline>
        </w:drawing>
      </w:r>
    </w:p>
    <w:p>
      <w:pPr>
        <w:jc w:val="center"/>
      </w:pPr>
      <w:r>
        <w:rPr>
          <w:i/>
          <w:color w:val="404040"/>
          <w:sz w:val="18"/>
        </w:rPr>
        <w:t>Figure 1. Leakage-controlled research framework and information boundary</w:t>
      </w:r>
    </w:p>
    <w:p>
      <w:pPr>
        <w:pStyle w:val="Heading2"/>
      </w:pPr>
      <w:r>
        <w:t>3.1 Datasets, sources and licensing</w:t>
      </w:r>
    </w:p>
    <w:p>
      <w:r>
        <w:t>Three public datasets are used, all obtained from official or public sources [14-16].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than asserting redistribution rights.</w:t>
      </w:r>
    </w:p>
    <w:p>
      <w:r>
        <w:rPr>
          <w:b/>
        </w:rPr>
        <w:t>Table 2. Dataset sources, versions and integrity records</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Dataset</w:t>
            </w:r>
          </w:p>
        </w:tc>
        <w:tc>
          <w:tcPr>
            <w:tcW w:type="dxa" w:w="1632"/>
          </w:tcPr>
          <w:p>
            <w:pPr>
              <w:spacing w:after="0"/>
            </w:pPr>
            <w:r>
              <w:rPr>
                <w:sz w:val="16"/>
              </w:rPr>
            </w:r>
            <w:r>
              <w:rPr>
                <w:b/>
                <w:sz w:val="16"/>
              </w:rPr>
              <w:t>Source</w:t>
            </w:r>
          </w:p>
        </w:tc>
        <w:tc>
          <w:tcPr>
            <w:tcW w:type="dxa" w:w="1632"/>
          </w:tcPr>
          <w:p>
            <w:pPr>
              <w:spacing w:after="0"/>
            </w:pPr>
            <w:r>
              <w:rPr>
                <w:sz w:val="16"/>
              </w:rPr>
            </w:r>
            <w:r>
              <w:rPr>
                <w:b/>
                <w:sz w:val="16"/>
              </w:rPr>
              <w:t>Version or snapshot</w:t>
            </w:r>
          </w:p>
        </w:tc>
        <w:tc>
          <w:tcPr>
            <w:tcW w:type="dxa" w:w="1632"/>
          </w:tcPr>
          <w:p>
            <w:pPr>
              <w:spacing w:after="0"/>
            </w:pPr>
            <w:r>
              <w:rPr>
                <w:sz w:val="16"/>
              </w:rPr>
            </w:r>
            <w:r>
              <w:rPr>
                <w:b/>
                <w:sz w:val="16"/>
              </w:rPr>
              <w:t>Retrieval date</w:t>
            </w:r>
          </w:p>
        </w:tc>
        <w:tc>
          <w:tcPr>
            <w:tcW w:type="dxa" w:w="1632"/>
          </w:tcPr>
          <w:p>
            <w:pPr>
              <w:spacing w:after="0"/>
            </w:pPr>
            <w:r>
              <w:rPr>
                <w:sz w:val="16"/>
              </w:rPr>
            </w:r>
            <w:r>
              <w:rPr>
                <w:b/>
                <w:sz w:val="16"/>
              </w:rPr>
              <w:t>Licence status</w:t>
            </w:r>
          </w:p>
        </w:tc>
        <w:tc>
          <w:tcPr>
            <w:tcW w:type="dxa" w:w="1632"/>
          </w:tcPr>
          <w:p>
            <w:pPr>
              <w:spacing w:after="0"/>
            </w:pPr>
            <w:r>
              <w:rPr>
                <w:sz w:val="16"/>
              </w:rPr>
            </w:r>
            <w:r>
              <w:rPr>
                <w:b/>
                <w:sz w:val="16"/>
              </w:rPr>
              <w:t>Integrity</w:t>
            </w:r>
          </w:p>
        </w:tc>
      </w:tr>
      <w:tr>
        <w:tc>
          <w:tcPr>
            <w:tcW w:type="dxa" w:w="1632"/>
          </w:tcPr>
          <w:p>
            <w:pPr>
              <w:spacing w:after="0"/>
            </w:pPr>
            <w:r>
              <w:rPr>
                <w:sz w:val="16"/>
              </w:rPr>
            </w:r>
            <w:r>
              <w:rPr>
                <w:sz w:val="16"/>
              </w:rPr>
              <w:t>CIC-IDS2017</w:t>
            </w:r>
          </w:p>
        </w:tc>
        <w:tc>
          <w:tcPr>
            <w:tcW w:type="dxa" w:w="1632"/>
          </w:tcPr>
          <w:p>
            <w:pPr>
              <w:spacing w:after="0"/>
            </w:pPr>
            <w:r>
              <w:rPr>
                <w:sz w:val="16"/>
              </w:rPr>
            </w:r>
            <w:r>
              <w:rPr>
                <w:sz w:val="16"/>
              </w:rPr>
              <w:t>Canadian Institute for Cybersecurity, official page</w:t>
            </w:r>
          </w:p>
        </w:tc>
        <w:tc>
          <w:tcPr>
            <w:tcW w:type="dxa" w:w="1632"/>
          </w:tcPr>
          <w:p>
            <w:pPr>
              <w:spacing w:after="0"/>
            </w:pPr>
            <w:r>
              <w:rPr>
                <w:sz w:val="16"/>
              </w:rPr>
            </w:r>
            <w:r>
              <w:rPr>
                <w:sz w:val="16"/>
              </w:rPr>
              <w:t>MachineLearningCSV archive (8 CSV files)</w:t>
            </w:r>
          </w:p>
        </w:tc>
        <w:tc>
          <w:tcPr>
            <w:tcW w:type="dxa" w:w="1632"/>
          </w:tcPr>
          <w:p>
            <w:pPr>
              <w:spacing w:after="0"/>
            </w:pPr>
            <w:r>
              <w:rPr>
                <w:sz w:val="16"/>
              </w:rPr>
            </w:r>
            <w:r>
              <w:rPr>
                <w:sz w:val="16"/>
              </w:rPr>
              <w:t>2026-09-02</w:t>
            </w:r>
          </w:p>
        </w:tc>
        <w:tc>
          <w:tcPr>
            <w:tcW w:type="dxa" w:w="1632"/>
          </w:tcPr>
          <w:p>
            <w:pPr>
              <w:spacing w:after="0"/>
            </w:pPr>
            <w:r>
              <w:rPr>
                <w:sz w:val="16"/>
              </w:rPr>
            </w:r>
            <w:r>
              <w:rPr>
                <w:sz w:val="16"/>
              </w:rPr>
              <w:t>No SPDX identifier shown; used under page terms with citation</w:t>
            </w:r>
          </w:p>
        </w:tc>
        <w:tc>
          <w:tcPr>
            <w:tcW w:type="dxa" w:w="1632"/>
          </w:tcPr>
          <w:p>
            <w:pPr>
              <w:spacing w:after="0"/>
            </w:pPr>
            <w:r>
              <w:rPr>
                <w:sz w:val="16"/>
              </w:rPr>
            </w:r>
            <w:r>
              <w:rPr>
                <w:sz w:val="16"/>
              </w:rPr>
              <w:t>SHA-256 and MD5 recorded (Table S1)</w:t>
            </w:r>
          </w:p>
        </w:tc>
      </w:tr>
      <w:tr>
        <w:tc>
          <w:tcPr>
            <w:tcW w:type="dxa" w:w="1632"/>
          </w:tcPr>
          <w:p>
            <w:pPr>
              <w:spacing w:after="0"/>
            </w:pPr>
            <w:r>
              <w:rPr>
                <w:sz w:val="16"/>
              </w:rPr>
            </w:r>
            <w:r>
              <w:rPr>
                <w:sz w:val="16"/>
              </w:rPr>
              <w:t>NSL-KDD</w:t>
            </w:r>
          </w:p>
        </w:tc>
        <w:tc>
          <w:tcPr>
            <w:tcW w:type="dxa" w:w="1632"/>
          </w:tcPr>
          <w:p>
            <w:pPr>
              <w:spacing w:after="0"/>
            </w:pPr>
            <w:r>
              <w:rPr>
                <w:sz w:val="16"/>
              </w:rPr>
            </w:r>
            <w:r>
              <w:rPr>
                <w:sz w:val="16"/>
              </w:rPr>
              <w:t>Public GitHub mirror, KDDTrain+ / KDDTest+</w:t>
            </w:r>
          </w:p>
        </w:tc>
        <w:tc>
          <w:tcPr>
            <w:tcW w:type="dxa" w:w="1632"/>
          </w:tcPr>
          <w:p>
            <w:pPr>
              <w:spacing w:after="0"/>
            </w:pPr>
            <w:r>
              <w:rPr>
                <w:sz w:val="16"/>
              </w:rPr>
            </w:r>
            <w:r>
              <w:rPr>
                <w:sz w:val="16"/>
              </w:rPr>
              <w:t>Mirror snapshot, commit not recorded</w:t>
            </w:r>
          </w:p>
        </w:tc>
        <w:tc>
          <w:tcPr>
            <w:tcW w:type="dxa" w:w="1632"/>
          </w:tcPr>
          <w:p>
            <w:pPr>
              <w:spacing w:after="0"/>
            </w:pPr>
            <w:r>
              <w:rPr>
                <w:sz w:val="16"/>
              </w:rPr>
            </w:r>
            <w:r>
              <w:rPr>
                <w:sz w:val="16"/>
              </w:rPr>
              <w:t>2026-09-03</w:t>
            </w:r>
          </w:p>
        </w:tc>
        <w:tc>
          <w:tcPr>
            <w:tcW w:type="dxa" w:w="1632"/>
          </w:tcPr>
          <w:p>
            <w:pPr>
              <w:spacing w:after="0"/>
            </w:pPr>
            <w:r>
              <w:rPr>
                <w:sz w:val="16"/>
              </w:rPr>
            </w:r>
            <w:r>
              <w:rPr>
                <w:sz w:val="16"/>
              </w:rPr>
              <w:t>No standard licence identifier verified; none inferred</w:t>
            </w:r>
          </w:p>
        </w:tc>
        <w:tc>
          <w:tcPr>
            <w:tcW w:type="dxa" w:w="1632"/>
          </w:tcPr>
          <w:p>
            <w:pPr>
              <w:spacing w:after="0"/>
            </w:pPr>
            <w:r>
              <w:rPr>
                <w:sz w:val="16"/>
              </w:rPr>
            </w:r>
            <w:r>
              <w:rPr>
                <w:sz w:val="16"/>
              </w:rPr>
              <w:t>SHA-256 recorded for both files</w:t>
            </w:r>
          </w:p>
        </w:tc>
      </w:tr>
      <w:tr>
        <w:tc>
          <w:tcPr>
            <w:tcW w:type="dxa" w:w="1632"/>
          </w:tcPr>
          <w:p>
            <w:pPr>
              <w:spacing w:after="0"/>
            </w:pPr>
            <w:r>
              <w:rPr>
                <w:sz w:val="16"/>
              </w:rPr>
            </w:r>
            <w:r>
              <w:rPr>
                <w:sz w:val="16"/>
              </w:rPr>
              <w:t>UNSW-NB15</w:t>
            </w:r>
          </w:p>
        </w:tc>
        <w:tc>
          <w:tcPr>
            <w:tcW w:type="dxa" w:w="1632"/>
          </w:tcPr>
          <w:p>
            <w:pPr>
              <w:spacing w:after="0"/>
            </w:pPr>
            <w:r>
              <w:rPr>
                <w:sz w:val="16"/>
              </w:rPr>
            </w:r>
            <w:r>
              <w:rPr>
                <w:sz w:val="16"/>
              </w:rPr>
              <w:t>UNSW Canberra Cyber, official project page</w:t>
            </w:r>
          </w:p>
        </w:tc>
        <w:tc>
          <w:tcPr>
            <w:tcW w:type="dxa" w:w="1632"/>
          </w:tcPr>
          <w:p>
            <w:pPr>
              <w:spacing w:after="0"/>
            </w:pPr>
            <w:r>
              <w:rPr>
                <w:sz w:val="16"/>
              </w:rPr>
            </w:r>
            <w:r>
              <w:rPr>
                <w:sz w:val="16"/>
              </w:rPr>
              <w:t>Official training and testing CSV</w:t>
            </w:r>
          </w:p>
        </w:tc>
        <w:tc>
          <w:tcPr>
            <w:tcW w:type="dxa" w:w="1632"/>
          </w:tcPr>
          <w:p>
            <w:pPr>
              <w:spacing w:after="0"/>
            </w:pPr>
            <w:r>
              <w:rPr>
                <w:sz w:val="16"/>
              </w:rPr>
            </w:r>
            <w:r>
              <w:rPr>
                <w:sz w:val="16"/>
              </w:rPr>
              <w:t>2026-09-04</w:t>
            </w:r>
          </w:p>
        </w:tc>
        <w:tc>
          <w:tcPr>
            <w:tcW w:type="dxa" w:w="1632"/>
          </w:tcPr>
          <w:p>
            <w:pPr>
              <w:spacing w:after="0"/>
            </w:pPr>
            <w:r>
              <w:rPr>
                <w:sz w:val="16"/>
              </w:rPr>
            </w:r>
            <w:r>
              <w:rPr>
                <w:sz w:val="16"/>
              </w:rPr>
              <w:t>Page requires citation of the original paper; no SPDX identifier</w:t>
            </w:r>
          </w:p>
        </w:tc>
        <w:tc>
          <w:tcPr>
            <w:tcW w:type="dxa" w:w="1632"/>
          </w:tcPr>
          <w:p>
            <w:pPr>
              <w:spacing w:after="0"/>
            </w:pPr>
            <w:r>
              <w:rPr>
                <w:sz w:val="16"/>
              </w:rPr>
            </w:r>
            <w:r>
              <w:rPr>
                <w:sz w:val="16"/>
              </w:rPr>
              <w:t>SHA-256 recorded for both files</w:t>
            </w:r>
          </w:p>
        </w:tc>
      </w:tr>
    </w:tbl>
    <w:p>
      <w:pPr>
        <w:spacing w:after="40"/>
      </w:pPr>
    </w:p>
    <w:p>
      <w:pPr>
        <w:pStyle w:val="Heading2"/>
      </w:pPr>
      <w:r>
        <w:t>3.2 Audit of CIC-IDS2017 and the two populations</w:t>
      </w:r>
    </w:p>
    <w:p>
      <w:r>
        <w:t>The local CIC-IDS2017 archive contains eight CSV files, 2,830,743 raw records and 78 flow features. The audit proceeds in six stages, each of which is counted (Figure 2, Table 3).</w:t>
      </w:r>
    </w:p>
    <w:p>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r>
        <w:rPr>
          <w:b/>
        </w:rPr>
        <w:t>Stage 2, non-finite removal.</w:t>
      </w:r>
      <w:r>
        <w:t xml:space="preserve"> Records containing NaN or infinity are dropped. All 2,741 removals are infinite values; there are no NaNs. This leaves 2,669,025 records.</w:t>
      </w:r>
    </w:p>
    <w:p>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r>
        <w:rPr>
          <w:b/>
        </w:rPr>
        <w:t>Table 3. CIC-IDS2017 audit stage counts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Stage</w:t>
            </w:r>
          </w:p>
        </w:tc>
        <w:tc>
          <w:tcPr>
            <w:tcW w:type="dxa" w:w="2448"/>
          </w:tcPr>
          <w:p>
            <w:pPr>
              <w:spacing w:after="0"/>
            </w:pPr>
            <w:r>
              <w:rPr>
                <w:sz w:val="16"/>
              </w:rPr>
            </w:r>
            <w:r>
              <w:rPr>
                <w:b/>
                <w:sz w:val="16"/>
              </w:rPr>
              <w:t>Records remaining</w:t>
            </w:r>
          </w:p>
        </w:tc>
        <w:tc>
          <w:tcPr>
            <w:tcW w:type="dxa" w:w="2448"/>
          </w:tcPr>
          <w:p>
            <w:pPr>
              <w:spacing w:after="0"/>
            </w:pPr>
            <w:r>
              <w:rPr>
                <w:sz w:val="16"/>
              </w:rPr>
            </w:r>
            <w:r>
              <w:rPr>
                <w:b/>
                <w:sz w:val="16"/>
              </w:rPr>
              <w:t>Removed at this stage</w:t>
            </w:r>
          </w:p>
        </w:tc>
        <w:tc>
          <w:tcPr>
            <w:tcW w:type="dxa" w:w="2448"/>
          </w:tcPr>
          <w:p>
            <w:pPr>
              <w:spacing w:after="0"/>
            </w:pPr>
            <w:r>
              <w:rPr>
                <w:sz w:val="16"/>
              </w:rPr>
            </w:r>
            <w:r>
              <w:rPr>
                <w:b/>
                <w:sz w:val="16"/>
              </w:rPr>
              <w:t>Note</w:t>
            </w:r>
          </w:p>
        </w:tc>
      </w:tr>
      <w:tr>
        <w:tc>
          <w:tcPr>
            <w:tcW w:type="dxa" w:w="2448"/>
          </w:tcPr>
          <w:p>
            <w:pPr>
              <w:spacing w:after="0"/>
            </w:pPr>
            <w:r>
              <w:rPr>
                <w:sz w:val="16"/>
              </w:rPr>
            </w:r>
            <w:r>
              <w:rPr>
                <w:sz w:val="16"/>
              </w:rPr>
              <w:t>Raw archive</w:t>
            </w:r>
          </w:p>
        </w:tc>
        <w:tc>
          <w:tcPr>
            <w:tcW w:type="dxa" w:w="2448"/>
          </w:tcPr>
          <w:p>
            <w:pPr>
              <w:spacing w:after="0"/>
            </w:pPr>
            <w:r>
              <w:rPr>
                <w:sz w:val="16"/>
              </w:rPr>
            </w:r>
            <w:r>
              <w:rPr>
                <w:sz w:val="16"/>
              </w:rPr>
              <w:t>2,830,743</w:t>
            </w:r>
          </w:p>
        </w:tc>
        <w:tc>
          <w:tcPr>
            <w:tcW w:type="dxa" w:w="2448"/>
          </w:tcPr>
          <w:p>
            <w:pPr>
              <w:spacing w:after="0"/>
            </w:pPr>
            <w:r>
              <w:rPr>
                <w:sz w:val="16"/>
              </w:rPr>
            </w:r>
            <w:r>
              <w:rPr>
                <w:sz w:val="16"/>
              </w:rPr>
              <w:t>-</w:t>
            </w:r>
          </w:p>
        </w:tc>
        <w:tc>
          <w:tcPr>
            <w:tcW w:type="dxa" w:w="2448"/>
          </w:tcPr>
          <w:p>
            <w:pPr>
              <w:spacing w:after="0"/>
            </w:pPr>
            <w:r>
              <w:rPr>
                <w:sz w:val="16"/>
              </w:rPr>
            </w:r>
            <w:r>
              <w:rPr>
                <w:sz w:val="16"/>
              </w:rPr>
              <w:t>8 CSV files, 78 flow features</w:t>
            </w:r>
          </w:p>
        </w:tc>
      </w:tr>
      <w:tr>
        <w:tc>
          <w:tcPr>
            <w:tcW w:type="dxa" w:w="2448"/>
          </w:tcPr>
          <w:p>
            <w:pPr>
              <w:spacing w:after="0"/>
            </w:pPr>
            <w:r>
              <w:rPr>
                <w:sz w:val="16"/>
              </w:rPr>
            </w:r>
            <w:r>
              <w:rPr>
                <w:sz w:val="16"/>
              </w:rPr>
              <w:t>After label mapping</w:t>
            </w:r>
          </w:p>
        </w:tc>
        <w:tc>
          <w:tcPr>
            <w:tcW w:type="dxa" w:w="2448"/>
          </w:tcPr>
          <w:p>
            <w:pPr>
              <w:spacing w:after="0"/>
            </w:pPr>
            <w:r>
              <w:rPr>
                <w:sz w:val="16"/>
              </w:rPr>
            </w:r>
            <w:r>
              <w:rPr>
                <w:sz w:val="16"/>
              </w:rPr>
              <w:t>2,671,766</w:t>
            </w:r>
          </w:p>
        </w:tc>
        <w:tc>
          <w:tcPr>
            <w:tcW w:type="dxa" w:w="2448"/>
          </w:tcPr>
          <w:p>
            <w:pPr>
              <w:spacing w:after="0"/>
            </w:pPr>
            <w:r>
              <w:rPr>
                <w:sz w:val="16"/>
              </w:rPr>
            </w:r>
            <w:r>
              <w:rPr>
                <w:sz w:val="16"/>
              </w:rPr>
              <w:t>158,977</w:t>
            </w:r>
          </w:p>
        </w:tc>
        <w:tc>
          <w:tcPr>
            <w:tcW w:type="dxa" w:w="2448"/>
          </w:tcPr>
          <w:p>
            <w:pPr>
              <w:spacing w:after="0"/>
            </w:pPr>
            <w:r>
              <w:rPr>
                <w:sz w:val="16"/>
              </w:rPr>
            </w:r>
            <w:r>
              <w:rPr>
                <w:sz w:val="16"/>
              </w:rPr>
              <w:t>Five retained classes; PortScan, Infiltration and Heartbleed reserved for diagnostics</w:t>
            </w:r>
          </w:p>
        </w:tc>
      </w:tr>
      <w:tr>
        <w:tc>
          <w:tcPr>
            <w:tcW w:type="dxa" w:w="2448"/>
          </w:tcPr>
          <w:p>
            <w:pPr>
              <w:spacing w:after="0"/>
            </w:pPr>
            <w:r>
              <w:rPr>
                <w:sz w:val="16"/>
              </w:rPr>
            </w:r>
            <w:r>
              <w:rPr>
                <w:sz w:val="16"/>
              </w:rPr>
              <w:t>After non-finite removal</w:t>
            </w:r>
          </w:p>
        </w:tc>
        <w:tc>
          <w:tcPr>
            <w:tcW w:type="dxa" w:w="2448"/>
          </w:tcPr>
          <w:p>
            <w:pPr>
              <w:spacing w:after="0"/>
            </w:pPr>
            <w:r>
              <w:rPr>
                <w:sz w:val="16"/>
              </w:rPr>
            </w:r>
            <w:r>
              <w:rPr>
                <w:sz w:val="16"/>
              </w:rPr>
              <w:t>2,669,025</w:t>
            </w:r>
          </w:p>
        </w:tc>
        <w:tc>
          <w:tcPr>
            <w:tcW w:type="dxa" w:w="2448"/>
          </w:tcPr>
          <w:p>
            <w:pPr>
              <w:spacing w:after="0"/>
            </w:pPr>
            <w:r>
              <w:rPr>
                <w:sz w:val="16"/>
              </w:rPr>
            </w:r>
            <w:r>
              <w:rPr>
                <w:sz w:val="16"/>
              </w:rPr>
              <w:t>2,741</w:t>
            </w:r>
          </w:p>
        </w:tc>
        <w:tc>
          <w:tcPr>
            <w:tcW w:type="dxa" w:w="2448"/>
          </w:tcPr>
          <w:p>
            <w:pPr>
              <w:spacing w:after="0"/>
            </w:pPr>
            <w:r>
              <w:rPr>
                <w:sz w:val="16"/>
              </w:rPr>
            </w:r>
            <w:r>
              <w:rPr>
                <w:sz w:val="16"/>
              </w:rPr>
              <w:t>All infinite; no NaNs</w:t>
            </w:r>
          </w:p>
        </w:tc>
      </w:tr>
      <w:tr>
        <w:tc>
          <w:tcPr>
            <w:tcW w:type="dxa" w:w="2448"/>
          </w:tcPr>
          <w:p>
            <w:pPr>
              <w:spacing w:after="0"/>
            </w:pPr>
            <w:r>
              <w:rPr>
                <w:sz w:val="16"/>
              </w:rPr>
            </w:r>
            <w:r>
              <w:rPr>
                <w:sz w:val="16"/>
              </w:rPr>
              <w:t>After physical-range screening</w:t>
            </w:r>
          </w:p>
        </w:tc>
        <w:tc>
          <w:tcPr>
            <w:tcW w:type="dxa" w:w="2448"/>
          </w:tcPr>
          <w:p>
            <w:pPr>
              <w:spacing w:after="0"/>
            </w:pPr>
            <w:r>
              <w:rPr>
                <w:sz w:val="16"/>
              </w:rPr>
            </w:r>
            <w:r>
              <w:rPr>
                <w:sz w:val="16"/>
              </w:rPr>
              <w:t>2,668,729</w:t>
            </w:r>
          </w:p>
        </w:tc>
        <w:tc>
          <w:tcPr>
            <w:tcW w:type="dxa" w:w="2448"/>
          </w:tcPr>
          <w:p>
            <w:pPr>
              <w:spacing w:after="0"/>
            </w:pPr>
            <w:r>
              <w:rPr>
                <w:sz w:val="16"/>
              </w:rPr>
            </w:r>
            <w:r>
              <w:rPr>
                <w:sz w:val="16"/>
              </w:rPr>
              <w:t>296</w:t>
            </w:r>
          </w:p>
        </w:tc>
        <w:tc>
          <w:tcPr>
            <w:tcW w:type="dxa" w:w="2448"/>
          </w:tcPr>
          <w:p>
            <w:pPr>
              <w:spacing w:after="0"/>
            </w:pPr>
            <w:r>
              <w:rPr>
                <w:sz w:val="16"/>
              </w:rPr>
            </w:r>
            <w:r>
              <w:rPr>
                <w:sz w:val="16"/>
              </w:rPr>
              <w:t>Negative duration, rate, length or segment size</w:t>
            </w:r>
          </w:p>
        </w:tc>
      </w:tr>
      <w:tr>
        <w:tc>
          <w:tcPr>
            <w:tcW w:type="dxa" w:w="2448"/>
          </w:tcPr>
          <w:p>
            <w:pPr>
              <w:spacing w:after="0"/>
            </w:pPr>
            <w:r>
              <w:rPr>
                <w:sz w:val="16"/>
              </w:rPr>
            </w:r>
            <w:r>
              <w:rPr>
                <w:sz w:val="16"/>
              </w:rPr>
              <w:t>After deduplication and conflict resolution</w:t>
            </w:r>
          </w:p>
        </w:tc>
        <w:tc>
          <w:tcPr>
            <w:tcW w:type="dxa" w:w="2448"/>
          </w:tcPr>
          <w:p>
            <w:pPr>
              <w:spacing w:after="0"/>
            </w:pPr>
            <w:r>
              <w:rPr>
                <w:sz w:val="16"/>
              </w:rPr>
            </w:r>
            <w:r>
              <w:rPr>
                <w:sz w:val="16"/>
              </w:rPr>
              <w:t>-</w:t>
            </w:r>
          </w:p>
        </w:tc>
        <w:tc>
          <w:tcPr>
            <w:tcW w:type="dxa" w:w="2448"/>
          </w:tcPr>
          <w:p>
            <w:pPr>
              <w:spacing w:after="0"/>
            </w:pPr>
            <w:r>
              <w:rPr>
                <w:sz w:val="16"/>
              </w:rPr>
            </w:r>
            <w:r>
              <w:rPr>
                <w:sz w:val="16"/>
              </w:rPr>
              <w:t>239,093 duplicate occurrences / 133 conflicting vectors</w:t>
            </w:r>
          </w:p>
        </w:tc>
        <w:tc>
          <w:tcPr>
            <w:tcW w:type="dxa" w:w="2448"/>
          </w:tcPr>
          <w:p>
            <w:pPr>
              <w:spacing w:after="0"/>
            </w:pPr>
            <w:r>
              <w:rPr>
                <w:sz w:val="16"/>
              </w:rPr>
            </w:r>
            <w:r>
              <w:rPr>
                <w:sz w:val="16"/>
              </w:rPr>
              <w:t>Completed before splitting</w:t>
            </w:r>
          </w:p>
        </w:tc>
      </w:tr>
      <w:tr>
        <w:tc>
          <w:tcPr>
            <w:tcW w:type="dxa" w:w="2448"/>
          </w:tcPr>
          <w:p>
            <w:pPr>
              <w:spacing w:after="0"/>
            </w:pPr>
            <w:r>
              <w:rPr>
                <w:sz w:val="16"/>
              </w:rPr>
            </w:r>
            <w:r>
              <w:rPr>
                <w:sz w:val="16"/>
              </w:rPr>
              <w:t>After class capping (natural-prior population)</w:t>
            </w:r>
          </w:p>
        </w:tc>
        <w:tc>
          <w:tcPr>
            <w:tcW w:type="dxa" w:w="2448"/>
          </w:tcPr>
          <w:p>
            <w:pPr>
              <w:spacing w:after="0"/>
            </w:pPr>
            <w:r>
              <w:rPr>
                <w:sz w:val="16"/>
              </w:rPr>
            </w:r>
            <w:r>
              <w:rPr>
                <w:sz w:val="16"/>
              </w:rPr>
              <w:t>53,237</w:t>
            </w:r>
          </w:p>
        </w:tc>
        <w:tc>
          <w:tcPr>
            <w:tcW w:type="dxa" w:w="2448"/>
          </w:tcPr>
          <w:p>
            <w:pPr>
              <w:spacing w:after="0"/>
            </w:pPr>
            <w:r>
              <w:rPr>
                <w:sz w:val="16"/>
              </w:rPr>
            </w:r>
            <w:r>
              <w:rPr>
                <w:sz w:val="16"/>
              </w:rPr>
              <w:t>-</w:t>
            </w:r>
          </w:p>
        </w:tc>
        <w:tc>
          <w:tcPr>
            <w:tcW w:type="dxa" w:w="2448"/>
          </w:tcPr>
          <w:p>
            <w:pPr>
              <w:spacing w:after="0"/>
            </w:pPr>
            <w:r>
              <w:rPr>
                <w:sz w:val="16"/>
              </w:rPr>
            </w:r>
            <w:r>
              <w:rPr>
                <w:sz w:val="16"/>
              </w:rPr>
              <w:t>20,000 per class, observed proportions retained</w:t>
            </w:r>
          </w:p>
        </w:tc>
      </w:tr>
      <w:tr>
        <w:tc>
          <w:tcPr>
            <w:tcW w:type="dxa" w:w="2448"/>
          </w:tcPr>
          <w:p>
            <w:pPr>
              <w:spacing w:after="0"/>
            </w:pPr>
            <w:r>
              <w:rPr>
                <w:sz w:val="16"/>
              </w:rPr>
            </w:r>
            <w:r>
              <w:rPr>
                <w:sz w:val="16"/>
              </w:rPr>
              <w:t>Train / validation / test</w:t>
            </w:r>
          </w:p>
        </w:tc>
        <w:tc>
          <w:tcPr>
            <w:tcW w:type="dxa" w:w="2448"/>
          </w:tcPr>
          <w:p>
            <w:pPr>
              <w:spacing w:after="0"/>
            </w:pPr>
            <w:r>
              <w:rPr>
                <w:sz w:val="16"/>
              </w:rPr>
            </w:r>
            <w:r>
              <w:rPr>
                <w:sz w:val="16"/>
              </w:rPr>
              <w:t>37,265 / 7,986 / 7,986</w:t>
            </w:r>
          </w:p>
        </w:tc>
        <w:tc>
          <w:tcPr>
            <w:tcW w:type="dxa" w:w="2448"/>
          </w:tcPr>
          <w:p>
            <w:pPr>
              <w:spacing w:after="0"/>
            </w:pPr>
            <w:r>
              <w:rPr>
                <w:sz w:val="16"/>
              </w:rPr>
            </w:r>
            <w:r>
              <w:rPr>
                <w:sz w:val="16"/>
              </w:rPr>
              <w:t>-</w:t>
            </w:r>
          </w:p>
        </w:tc>
        <w:tc>
          <w:tcPr>
            <w:tcW w:type="dxa" w:w="2448"/>
          </w:tcPr>
          <w:p>
            <w:pPr>
              <w:spacing w:after="0"/>
            </w:pPr>
            <w:r>
              <w:rPr>
                <w:sz w:val="16"/>
              </w:rPr>
            </w:r>
            <w:r>
              <w:rPr>
                <w:sz w:val="16"/>
              </w:rPr>
              <w:t>Stratified 70/15/15</w:t>
            </w:r>
          </w:p>
        </w:tc>
      </w:tr>
      <w:tr>
        <w:tc>
          <w:tcPr>
            <w:tcW w:type="dxa" w:w="2448"/>
          </w:tcPr>
          <w:p>
            <w:pPr>
              <w:spacing w:after="0"/>
            </w:pPr>
            <w:r>
              <w:rPr>
                <w:sz w:val="16"/>
              </w:rPr>
            </w:r>
            <w:r>
              <w:rPr>
                <w:sz w:val="16"/>
              </w:rPr>
              <w:t>Balanced control population</w:t>
            </w:r>
          </w:p>
        </w:tc>
        <w:tc>
          <w:tcPr>
            <w:tcW w:type="dxa" w:w="2448"/>
          </w:tcPr>
          <w:p>
            <w:pPr>
              <w:spacing w:after="0"/>
            </w:pPr>
            <w:r>
              <w:rPr>
                <w:sz w:val="16"/>
              </w:rPr>
            </w:r>
            <w:r>
              <w:rPr>
                <w:sz w:val="16"/>
              </w:rPr>
              <w:t>3,365 (673 per class)</w:t>
            </w:r>
          </w:p>
        </w:tc>
        <w:tc>
          <w:tcPr>
            <w:tcW w:type="dxa" w:w="2448"/>
          </w:tcPr>
          <w:p>
            <w:pPr>
              <w:spacing w:after="0"/>
            </w:pPr>
            <w:r>
              <w:rPr>
                <w:sz w:val="16"/>
              </w:rPr>
            </w:r>
            <w:r>
              <w:rPr>
                <w:sz w:val="16"/>
              </w:rPr>
              <w:t>-</w:t>
            </w:r>
          </w:p>
        </w:tc>
        <w:tc>
          <w:tcPr>
            <w:tcW w:type="dxa" w:w="2448"/>
          </w:tcPr>
          <w:p>
            <w:pPr>
              <w:spacing w:after="0"/>
            </w:pPr>
            <w:r>
              <w:rPr>
                <w:sz w:val="16"/>
              </w:rPr>
            </w:r>
            <w:r>
              <w:rPr>
                <w:sz w:val="16"/>
              </w:rPr>
              <w:t>2,355 / 505 / 505</w:t>
            </w:r>
          </w:p>
        </w:tc>
      </w:tr>
    </w:tbl>
    <w:p>
      <w:pPr>
        <w:spacing w:after="40"/>
      </w:pPr>
    </w:p>
    <w:p>
      <w:pPr>
        <w:jc w:val="center"/>
      </w:pPr>
      <w:r>
        <w:drawing>
          <wp:inline xmlns:a="http://schemas.openxmlformats.org/drawingml/2006/main" xmlns:pic="http://schemas.openxmlformats.org/drawingml/2006/picture">
            <wp:extent cx="5760720" cy="2722098"/>
            <wp:docPr id="2" name="Picture 2"/>
            <wp:cNvGraphicFramePr>
              <a:graphicFrameLocks noChangeAspect="1"/>
            </wp:cNvGraphicFramePr>
            <a:graphic>
              <a:graphicData uri="http://schemas.openxmlformats.org/drawingml/2006/picture">
                <pic:pic>
                  <pic:nvPicPr>
                    <pic:cNvPr id="0" name="fig2_data_waterfall.png"/>
                    <pic:cNvPicPr/>
                  </pic:nvPicPr>
                  <pic:blipFill>
                    <a:blip r:embed="rId10"/>
                    <a:stretch>
                      <a:fillRect/>
                    </a:stretch>
                  </pic:blipFill>
                  <pic:spPr>
                    <a:xfrm>
                      <a:off x="0" y="0"/>
                      <a:ext cx="5760720" cy="2722098"/>
                    </a:xfrm>
                    <a:prstGeom prst="rect"/>
                  </pic:spPr>
                </pic:pic>
              </a:graphicData>
            </a:graphic>
          </wp:inline>
        </w:drawing>
      </w:r>
    </w:p>
    <w:p>
      <w:pPr>
        <w:jc w:val="center"/>
      </w:pPr>
      <w:r>
        <w:rPr>
          <w:i/>
          <w:color w:val="404040"/>
          <w:sz w:val="18"/>
        </w:rPr>
        <w:t>Figure 2. CIC-IDS2017 audit chain (log scale)</w:t>
      </w:r>
    </w:p>
    <w:p>
      <w:pPr>
        <w:pStyle w:val="Heading2"/>
      </w:pPr>
      <w:r>
        <w:t>3.3 NSL-KDD and UNSW-NB15</w:t>
      </w:r>
    </w:p>
    <w:p>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r>
        <w:t>The three datasets are deliberately complementary rather than interchangeable. They span three capture eras (a 1998 line of descent for NSL-KDD, a 2015 synthetic testbed for UNSW-NB15 and a 2017 enterprise-like testbed for CIC-IDS2017), three feature extractors (a 41-feature connection record set, a 49-feature Argus/Bro-derived set and a 78-feature CICFlowMeter set), and three label spaces (5, 10 and 5 retained classes). Their known defects also differ: NSL-KDD carries the redundancy of its KDD lineage, UNSW-NB15 contains largely synthetically generated attacks and cross-split feature overlap, and CIC-IDS2017 contains duplicate flows, cross-label conflicts and constant columns. A fourth dataset would add most value if it covered an environment none of the three represents - an IoT or operational-technology deployment, a different capture vantage point, or a temporally separated capture from the same testbed. The coverage matrix is reported in the supplementary material.</w:t>
      </w:r>
    </w:p>
    <w:p>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pPr>
        <w:pStyle w:val="Heading2"/>
      </w:pPr>
      <w:r>
        <w:t>3.4 Leakage-controlled protocol</w:t>
      </w:r>
    </w:p>
    <w:p>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r>
        <w:t>The concrete constraints are as follows.</w:t>
      </w:r>
    </w:p>
    <w:p>
      <w:pPr>
        <w:pStyle w:val="ListNumbe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pPr>
        <w:pStyle w:val="ListNumbe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pPr>
        <w:pStyle w:val="ListNumbe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pPr>
        <w:pStyle w:val="ListNumber"/>
      </w:pPr>
      <w:r>
        <w:rPr>
          <w:b/>
        </w:rPr>
        <w:t>Validation is used for calibration only.</w:t>
      </w:r>
      <w:r>
        <w:t xml:space="preserve"> Temperature-scaling parameters and Mondrian conformal thresholds are estimated on the validation partition and never see test labels.</w:t>
      </w:r>
    </w:p>
    <w:p>
      <w:pPr>
        <w:pStyle w:val="ListNumber"/>
      </w:pPr>
      <w:r>
        <w:rPr>
          <w:b/>
        </w:rPr>
        <w:t>The test partition is locked.</w:t>
      </w:r>
      <w:r>
        <w:t xml:space="preserve"> Test labels are read only after models, weights and thresholds are final, and only to compute the reported metrics.</w:t>
      </w:r>
    </w:p>
    <w:p>
      <w:r>
        <w:t>Figure 1 shows the full sequence and the information boundary.</w:t>
      </w:r>
    </w:p>
    <w:p>
      <w:pPr>
        <w:pStyle w:val="Heading2"/>
      </w:pPr>
      <w:r>
        <w:t>3.5 Estimands and statistical procedure</w:t>
      </w:r>
    </w:p>
    <w:p>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r>
        <w:t xml:space="preserve">The statistical procedure has five components, all applied to paired comparisons on identical test rows: (i) exact McNemar tests for hard-label disagreement [34]; (ii) a seed-level sign-flip test for directional stability [35,36]; (iii) stratified paired bootstrap for interval estimation of Macro-F1 differences [38]; (iv) Holm correction across the family of three comparisons against RCCF [37], reported as adjusted sign-flip p-values in Table 5; and (v) equivalence testing (TOST), which compares the paired bootstrap 90% interval [39]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natural-prior Macro-F1 and is taken as the smallest difference that would justify the mechanism's cost in practice.</w:t>
      </w:r>
    </w:p>
    <w:p>
      <w:r>
        <w:t>Macro-F1 is the primary metric because Web Attack accounts for only 1.26% of the natural-prior population, so accuracy is dominated by the majority classes. Class-level reports, balanced accuracy and normalised confusion matrices are reported alongside it.</w:t>
      </w:r>
    </w:p>
    <w:p>
      <w:pPr>
        <w:pStyle w:val="Heading2"/>
      </w:pPr>
      <w:r>
        <w:t>3.6 Validity threats excluded by design</w:t>
      </w:r>
    </w:p>
    <w:p>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pPr>
        <w:pStyle w:val="Heading1"/>
      </w:pPr>
      <w:r>
        <w:t>4. Method</w:t>
      </w:r>
    </w:p>
    <w:p>
      <w:pPr>
        <w:pStyle w:val="Heading2"/>
      </w:pPr>
      <w:r>
        <w:t>4.1 Feature views and base learners</w:t>
      </w:r>
    </w:p>
    <w:p>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r>
        <w:t>Four feature views, rather than four different algorithms, are used deliberately: if the resulting experts are highly correlated, the conditions in Section 4.3 predict that the gate will be inert. The design therefore doubles as a stress test of the mechanism.</w:t>
      </w:r>
    </w:p>
    <w:p>
      <w:r>
        <w:t>External controls are an equal-weight random forest (RF) on each view, extremely randomised trees, XGBoost and a multilayer perceptron (MLP). Tree-ensemble and boosting references are [1-8]. All controls share the feature budget and the seed set.</w:t>
      </w:r>
    </w:p>
    <w:p>
      <w:r>
        <w:t>Per-file processing counts, class support and the training-side feature scores of all four views are provided in Supplementary S01-S04.</w:t>
      </w:r>
    </w:p>
    <w:p>
      <w:pPr>
        <w:pStyle w:val="Heading2"/>
      </w:pPr>
      <w:r>
        <w:t>4.2 Sample-conditional weighting</w:t>
      </w:r>
    </w:p>
    <w:p>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r>
        <w:t>Let p_e(y|x) be the probability output of expert e in {full, chi-square, MI, ANOVA}, with Q = 4 experts. The mechanism has three steps.</w:t>
      </w:r>
    </w:p>
    <w:p>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r>
        <w:rPr>
          <w:b/>
        </w:rPr>
        <w:t>Step 2, risk models.</w:t>
      </w:r>
      <w:r>
        <w:t xml:space="preserve"> For each expert e a logistic regression r_e(x) is fitted on its out-of-fold probabilities and descriptors. A larger value indicates that the expert is less reliable on similar samples.</w:t>
      </w:r>
    </w:p>
    <w:p>
      <w:r>
        <w:rPr>
          <w:b/>
        </w:rPr>
        <w:t>Step 3, conditional weights and calibration.</w:t>
      </w:r>
      <w:r>
        <w:t xml:space="preserve"> The fusion weights and the fused posterior are given by Eq. (1):</w:t>
      </w:r>
    </w:p>
    <w:p>
      <w:pPr>
        <w:jc w:val="center"/>
      </w:pPr>
      <w:r>
        <w:rPr>
          <w:rFonts w:ascii="Cambria Math" w:hAnsi="Cambria Math"/>
          <w:sz w:val="22"/>
        </w:rPr>
        <w:t>w_e(x)=\frac{\exp[-r_e(x)]}{\sum_{j=1}^{Q}\exp[-r_j(x)]},\qquad p(y\mid x)=\sum_{e=1}^{Q} w_e(x)\,p_e(y\mid x).  (1)</w:t>
      </w:r>
    </w:p>
    <w:p>
      <w:r>
        <w:t xml:space="preserve">Fused probabilities are then temperature-scaled on the validation partition [27], and a Mondrian (class-conditional) conformal predictor provides an optional </w:t>
      </w:r>
      <w:r>
        <w:rPr>
          <w:rFonts w:ascii="Consolas" w:hAnsi="Consolas"/>
        </w:rPr>
        <w:t>unknown</w:t>
      </w:r>
      <w:r>
        <w:t xml:space="preserve"> output at significance level alpha = 0.1. [30-33] Note that the mechanism changes probabilities first; a hard label changes only if the fused argmax changes. "The probabilities moved" and "the prediction changed" are therefore distinct statements, and Sections 5.2 and 5.3 report them separately.</w:t>
      </w:r>
    </w:p>
    <w:p>
      <w:pPr>
        <w:jc w:val="center"/>
      </w:pPr>
      <w:r>
        <w:drawing>
          <wp:inline xmlns:a="http://schemas.openxmlformats.org/drawingml/2006/main" xmlns:pic="http://schemas.openxmlformats.org/drawingml/2006/picture">
            <wp:extent cx="5760720" cy="3482709"/>
            <wp:docPr id="3" name="Picture 3"/>
            <wp:cNvGraphicFramePr>
              <a:graphicFrameLocks noChangeAspect="1"/>
            </wp:cNvGraphicFramePr>
            <a:graphic>
              <a:graphicData uri="http://schemas.openxmlformats.org/drawingml/2006/picture">
                <pic:pic>
                  <pic:nvPicPr>
                    <pic:cNvPr id="0" name="fig3_rccf_mechanism.png"/>
                    <pic:cNvPicPr/>
                  </pic:nvPicPr>
                  <pic:blipFill>
                    <a:blip r:embed="rId11"/>
                    <a:stretch>
                      <a:fillRect/>
                    </a:stretch>
                  </pic:blipFill>
                  <pic:spPr>
                    <a:xfrm>
                      <a:off x="0" y="0"/>
                      <a:ext cx="5760720" cy="3482709"/>
                    </a:xfrm>
                    <a:prstGeom prst="rect"/>
                  </pic:spPr>
                </pic:pic>
              </a:graphicData>
            </a:graphic>
          </wp:inline>
        </w:drawing>
      </w:r>
    </w:p>
    <w:p>
      <w:pPr>
        <w:jc w:val="center"/>
      </w:pPr>
      <w:r>
        <w:rPr>
          <w:i/>
          <w:color w:val="404040"/>
          <w:sz w:val="18"/>
        </w:rPr>
        <w:t>Figure 3. Mechanism of conditional weighting and the three identifiability conditions</w:t>
      </w:r>
    </w:p>
    <w:p>
      <w:r>
        <w:t>Algorithm 1 states the full procedure with the information boundary made explicit.</w:t>
      </w:r>
    </w:p>
    <w:p>
      <w:r>
        <w:rPr>
          <w:b/>
        </w:rPr>
        <w:t>Algorithm 1. Leakage-controlled RCCF training and inference</w:t>
      </w:r>
    </w:p>
    <w:p>
      <w:pPr>
        <w:spacing w:after="0" w:line="240" w:lineRule="auto"/>
      </w:pPr>
      <w:r>
        <w:rPr>
          <w:rFonts w:ascii="Consolas" w:hAnsi="Consolas"/>
          <w:sz w:val="17"/>
        </w:rPr>
        <w:t>Input: training matrix X_tr and labels y_tr; validation matrix X_va and labels y_va;</w:t>
      </w:r>
    </w:p>
    <w:p>
      <w:pPr>
        <w:spacing w:after="0" w:line="240" w:lineRule="auto"/>
      </w:pPr>
      <w:r>
        <w:rPr>
          <w:rFonts w:ascii="Consolas" w:hAnsi="Consolas"/>
          <w:sz w:val="17"/>
        </w:rPr>
        <w:t xml:space="preserve">       feature budget k; forest size T; number of cross-fitting folds K; conformal level alpha.</w:t>
      </w:r>
    </w:p>
    <w:p>
      <w:pPr>
        <w:spacing w:after="0" w:line="240" w:lineRule="auto"/>
      </w:pPr>
      <w:r>
        <w:rPr>
          <w:rFonts w:ascii="Consolas" w:hAnsi="Consolas"/>
          <w:sz w:val="17"/>
        </w:rPr>
      </w:r>
    </w:p>
    <w:p>
      <w:pPr>
        <w:spacing w:after="0" w:line="240" w:lineRule="auto"/>
      </w:pPr>
      <w:r>
        <w:rPr>
          <w:rFonts w:ascii="Consolas" w:hAnsi="Consolas"/>
          <w:sz w:val="17"/>
        </w:rPr>
        <w:t>1. Split (X_tr, y_tr) into K stratified folds.</w:t>
      </w:r>
    </w:p>
    <w:p>
      <w:pPr>
        <w:spacing w:after="0" w:line="240" w:lineRule="auto"/>
      </w:pPr>
      <w:r>
        <w:rPr>
          <w:rFonts w:ascii="Consolas" w:hAnsi="Consolas"/>
          <w:sz w:val="17"/>
        </w:rPr>
        <w:t>2. For each fold and each expert view q in {full, chi-square, MI, ANOVA}:</w:t>
      </w:r>
    </w:p>
    <w:p>
      <w:pPr>
        <w:spacing w:after="0" w:line="240" w:lineRule="auto"/>
      </w:pPr>
      <w:r>
        <w:rPr>
          <w:rFonts w:ascii="Consolas" w:hAnsi="Consolas"/>
          <w:sz w:val="17"/>
        </w:rPr>
        <w:t xml:space="preserve">       fit the scaler and selector on the fold's training rows;</w:t>
      </w:r>
    </w:p>
    <w:p>
      <w:pPr>
        <w:spacing w:after="0" w:line="240" w:lineRule="auto"/>
      </w:pPr>
      <w:r>
        <w:rPr>
          <w:rFonts w:ascii="Consolas" w:hAnsi="Consolas"/>
          <w:sz w:val="17"/>
        </w:rPr>
        <w:t xml:space="preserve">       fit a T-tree forest;</w:t>
      </w:r>
    </w:p>
    <w:p>
      <w:pPr>
        <w:spacing w:after="0" w:line="240" w:lineRule="auto"/>
      </w:pPr>
      <w:r>
        <w:rPr>
          <w:rFonts w:ascii="Consolas" w:hAnsi="Consolas"/>
          <w:sz w:val="17"/>
        </w:rPr>
        <w:t xml:space="preserve">       predict the held-out fold and store out-of-fold probabilities and descriptors.</w:t>
      </w:r>
    </w:p>
    <w:p>
      <w:pPr>
        <w:spacing w:after="0" w:line="240" w:lineRule="auto"/>
      </w:pPr>
      <w:r>
        <w:rPr>
          <w:rFonts w:ascii="Consolas" w:hAnsi="Consolas"/>
          <w:sz w:val="17"/>
        </w:rPr>
        <w:t>3. Fit one logistic risk model r_q per view on the complete out-of-fold table.</w:t>
      </w:r>
    </w:p>
    <w:p>
      <w:pPr>
        <w:spacing w:after="0" w:line="240" w:lineRule="auto"/>
      </w:pPr>
      <w:r>
        <w:rPr>
          <w:rFonts w:ascii="Consolas" w:hAnsi="Consolas"/>
          <w:sz w:val="17"/>
        </w:rPr>
        <w:t>4. Refit all four expert forests on all training rows, retaining their scalers and selectors.</w:t>
      </w:r>
    </w:p>
    <w:p>
      <w:pPr>
        <w:spacing w:after="0" w:line="240" w:lineRule="auto"/>
      </w:pPr>
      <w:r>
        <w:rPr>
          <w:rFonts w:ascii="Consolas" w:hAnsi="Consolas"/>
          <w:sz w:val="17"/>
        </w:rPr>
        <w:t>5. Predict X_va with the fused experts; fit temperature scaling and the Mondrian conformal threshold.</w:t>
      </w:r>
    </w:p>
    <w:p>
      <w:pPr>
        <w:spacing w:after="0" w:line="240" w:lineRule="auto"/>
      </w:pPr>
      <w:r>
        <w:rPr>
          <w:rFonts w:ascii="Consolas" w:hAnsi="Consolas"/>
          <w:sz w:val="17"/>
        </w:rPr>
        <w:t>6. For a new sample x:</w:t>
      </w:r>
    </w:p>
    <w:p>
      <w:pPr>
        <w:spacing w:after="0" w:line="240" w:lineRule="auto"/>
      </w:pPr>
      <w:r>
        <w:rPr>
          <w:rFonts w:ascii="Consolas" w:hAnsi="Consolas"/>
          <w:sz w:val="17"/>
        </w:rPr>
        <w:t xml:space="preserve">       transform x through each expert to obtain p_q(x); estimate r_q(x);</w:t>
      </w:r>
    </w:p>
    <w:p>
      <w:pPr>
        <w:spacing w:after="0" w:line="240" w:lineRule="auto"/>
      </w:pPr>
      <w:r>
        <w:rPr>
          <w:rFonts w:ascii="Consolas" w:hAnsi="Consolas"/>
          <w:sz w:val="17"/>
        </w:rPr>
        <w:t xml:space="preserve">       compute w_q(x) = exp(-r_q(x)) / sum_j exp(-r_j(x));</w:t>
      </w:r>
    </w:p>
    <w:p>
      <w:pPr>
        <w:spacing w:after="0" w:line="240" w:lineRule="auto"/>
      </w:pPr>
      <w:r>
        <w:rPr>
          <w:rFonts w:ascii="Consolas" w:hAnsi="Consolas"/>
          <w:sz w:val="17"/>
        </w:rPr>
        <w:t xml:space="preserve">       return the fused probability p(x) = sum_q w_q(x) p_q(x) and the conformal decision.</w:t>
      </w:r>
    </w:p>
    <w:p>
      <w:pPr>
        <w:spacing w:after="0" w:line="240" w:lineRule="auto"/>
      </w:pPr>
      <w:r>
        <w:rPr>
          <w:rFonts w:ascii="Consolas" w:hAnsi="Consolas"/>
          <w:sz w:val="17"/>
        </w:rPr>
        <w:t>Output: calibrated probabilities, class prediction and an optional unknown label.</w:t>
      </w:r>
    </w:p>
    <w:p>
      <w:pPr>
        <w:spacing w:after="40"/>
      </w:pPr>
    </w:p>
    <w:p>
      <w:pPr>
        <w:pStyle w:val="Heading2"/>
      </w:pPr>
      <w:r>
        <w:t>4.3 Identifiability: three conditions under which the gate cannot act</w:t>
      </w:r>
    </w:p>
    <w:p>
      <w:r>
        <w:t>Section 5 reports that gated fusion and equal voting agree on every test row. To show that this is structural rather than an artefact of the implementation, we state three conditions. None depends on a particular dataset; each follows from the fusion form itself.</w:t>
      </w:r>
    </w:p>
    <w:p>
      <w:r>
        <w:rPr>
          <w:b/>
        </w:rPr>
        <w:t>Condition 1 (convex invariance).</w:t>
      </w:r>
      <w:r>
        <w:t xml:space="preserve"> Suppose all experts return the same posterior, p_e(y|x) = p(y|x) for every e. Then for any weights with w_e &gt;= 0 and sum_e w_e = 1, the fused probability equals p(y|x) and the argmax is unchanged.</w:t>
      </w:r>
    </w:p>
    <w:p>
      <w:r>
        <w:t>*Proof.* Summing w_e p_e with sum_e w_e = 1 and p_e identical gives (sum_e w_e) p = p, so the convex combination leaves the probability vector unchanged and the argmax is invariant.</w:t>
      </w:r>
    </w:p>
    <w:p>
      <w:r>
        <w:t>This is the degenerate case. Real experts are not identical, so a weaker condition is required.</w:t>
      </w:r>
    </w:p>
    <w:p>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pPr>
        <w:jc w:val="center"/>
      </w:pPr>
      <w:r>
        <w:rPr>
          <w:rFonts w:ascii="Cambria Math" w:hAnsi="Cambria Math"/>
          <w:sz w:val="22"/>
        </w:rPr>
        <w:t>\left\|p_w-\bar p\right\|_1\ \le\ \sum_{e=1}^{Q}\left|w_e-\frac{1}{Q}\right|\ =:\ \Delta(x).  (2)</w:t>
      </w:r>
    </w:p>
    <w:p>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invariance conclusion carries over to the reported predictions.</w:t>
      </w:r>
    </w:p>
    <w:p>
      <w:r>
        <w:rPr>
          <w:b/>
        </w:rPr>
        <w:t>Condition 3 (weight collapse, quantified).</w:t>
      </w:r>
      <w:r>
        <w:t xml:space="preserve"> Write r_e(x) = r_bar(x) + delta_e(x). Since log w_e = -r_e + const, we have Var(log w) = Var(delta). Expanding the normalised entropy around the uniform point gives, to second order,</w:t>
      </w:r>
    </w:p>
    <w:p>
      <w:pPr>
        <w:jc w:val="center"/>
      </w:pPr>
      <w:r>
        <w:rPr>
          <w:rFonts w:ascii="Cambria Math" w:hAnsi="Cambria Math"/>
          <w:sz w:val="22"/>
        </w:rPr>
        <w:t>1-H_{norm}(w)=\frac{Q}{2\log Q}\left\|w-\frac{1}{Q}\mathbf{1}\right\|_2^2,  (3)</w:t>
      </w:r>
    </w:p>
    <w:p>
      <w:r>
        <w:t>and a first-order expansion of the softmax gives the simpler relation</w:t>
      </w:r>
    </w:p>
    <w:p>
      <w:pPr>
        <w:jc w:val="center"/>
      </w:pPr>
      <w:r>
        <w:rPr>
          <w:rFonts w:ascii="Cambria Math" w:hAnsi="Cambria Math"/>
          <w:sz w:val="22"/>
        </w:rPr>
        <w:t>1-H_{norm}(w)\ \approx\ \frac{\mathrm{Var}(\delta)}{2\log Q}.  (4)</w:t>
      </w:r>
    </w:p>
    <w:p>
      <w:r>
        <w:t>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observable is the normalised weight entropy, Eq. (5)</w:t>
      </w:r>
    </w:p>
    <w:p>
      <w:pPr>
        <w:jc w:val="center"/>
      </w:pPr>
      <w:r>
        <w:rPr>
          <w:rFonts w:ascii="Cambria Math" w:hAnsi="Cambria Math"/>
          <w:sz w:val="22"/>
        </w:rPr>
        <w:t>H_{norm}(x)=-\frac{1}{\log Q}\sum_{e=1}^{Q} w_e(x)\log w_e(x),  (5)</w:t>
      </w:r>
    </w:p>
    <w:p>
      <w:r>
        <w:t>which approaches 1 in that limit.</w:t>
      </w:r>
    </w:p>
    <w:p>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r>
        <w:t>The row-wise margin bound and the quantification of Condition 3 are provided in Supplementary S17 and S25.</w:t>
      </w:r>
    </w:p>
    <w:p>
      <w:pPr>
        <w:pStyle w:val="Heading2"/>
      </w:pPr>
      <w:r>
        <w:t>4.4 Complexity</w:t>
      </w:r>
    </w:p>
    <w:p>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[42-45].</w:t>
      </w:r>
    </w:p>
    <w:p>
      <w:pPr>
        <w:pStyle w:val="Heading2"/>
      </w:pPr>
      <w:r>
        <w:t>4.5 Controls and ablations</w:t>
      </w:r>
    </w:p>
    <w:p>
      <w:r>
        <w:t>Five control groups are used, all under the same protocol.</w:t>
      </w:r>
    </w:p>
    <w:p>
      <w:pPr>
        <w:pStyle w:val="ListNumber"/>
      </w:pPr>
      <w:r>
        <w:rPr>
          <w:b/>
        </w:rPr>
        <w:t>Equal-weight control.</w:t>
      </w:r>
      <w:r>
        <w:t xml:space="preserve"> Same feature view, tree count and seed as the gated model. This is the direct test of H2.</w:t>
      </w:r>
    </w:p>
    <w:p>
      <w:pPr>
        <w:pStyle w:val="ListNumber"/>
      </w:pPr>
      <w:r>
        <w:rPr>
          <w:b/>
        </w:rPr>
        <w:t>Feature-view control.</w:t>
      </w:r>
      <w:r>
        <w:t xml:space="preserve"> Equal-weight forests across full, chi-square, mutual-information and ANOVA views, answering RQ1.</w:t>
      </w:r>
    </w:p>
    <w:p>
      <w:pPr>
        <w:pStyle w:val="ListNumber"/>
      </w:pPr>
      <w:r>
        <w:rPr>
          <w:b/>
        </w:rPr>
        <w:t>Tree-level weighting ablation.</w:t>
      </w:r>
      <w:r>
        <w:t xml:space="preserve"> Weights derived from single-tree validation accuracy, which are sample-independent, to separate sample-conditional from sample-independent weighting.</w:t>
      </w:r>
    </w:p>
    <w:p>
      <w:pPr>
        <w:pStyle w:val="ListNumber"/>
      </w:pPr>
      <w:r>
        <w:rPr>
          <w:b/>
        </w:rPr>
        <w:t>Protocol controls.</w:t>
      </w:r>
      <w:r>
        <w:t xml:space="preserve"> Deduplication after the split with training-side-only deduplication, and the two population definitions, answering RQ3.</w:t>
      </w:r>
    </w:p>
    <w:p>
      <w:pPr>
        <w:pStyle w:val="ListNumbe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pPr>
        <w:pStyle w:val="Heading1"/>
      </w:pPr>
      <w:r>
        <w:t>5. Results</w:t>
      </w:r>
    </w:p>
    <w:p>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pPr>
        <w:pStyle w:val="Heading2"/>
      </w:pPr>
      <w:r>
        <w:t>5.1 RQ1: Training-side feature selection preserves discriminative power</w:t>
      </w:r>
    </w:p>
    <w:p>
      <w:r>
        <w:t>The feature-quality audit shows that 12 of the 78 CIC-IDS2017 features are constant (a single value across all rows) and 18 are near-zero-variance. The constant columns include Bwd PSH Flags, Fwd URG Flags, Bwd URG Flags, RST Flag Count, CWE Flag Count, ECE Flag Count and six bulk-rate fields. H1's premise of redundancy is therefore correct in itself.</w:t>
      </w:r>
    </w:p>
    <w:p>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r>
        <w:t>With k = 60 fixed, the chi-square and full-feature views compare as follows.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Protocol</w:t>
            </w:r>
          </w:p>
        </w:tc>
        <w:tc>
          <w:tcPr>
            <w:tcW w:type="dxa" w:w="2448"/>
          </w:tcPr>
          <w:p>
            <w:pPr>
              <w:spacing w:after="0"/>
            </w:pPr>
            <w:r>
              <w:rPr>
                <w:sz w:val="16"/>
              </w:rPr>
            </w:r>
            <w:r>
              <w:rPr>
                <w:b/>
                <w:sz w:val="16"/>
              </w:rPr>
              <w:t>Equal RF, full features</w:t>
            </w:r>
          </w:p>
        </w:tc>
        <w:tc>
          <w:tcPr>
            <w:tcW w:type="dxa" w:w="2448"/>
          </w:tcPr>
          <w:p>
            <w:pPr>
              <w:spacing w:after="0"/>
            </w:pPr>
            <w:r>
              <w:rPr>
                <w:sz w:val="16"/>
              </w:rPr>
            </w:r>
            <w:r>
              <w:rPr>
                <w:b/>
                <w:sz w:val="16"/>
              </w:rPr>
              <w:t>Equal RF, chi-square</w:t>
            </w:r>
          </w:p>
        </w:tc>
        <w:tc>
          <w:tcPr>
            <w:tcW w:type="dxa" w:w="2448"/>
          </w:tcPr>
          <w:p>
            <w:pPr>
              <w:spacing w:after="0"/>
            </w:pPr>
            <w:r>
              <w:rPr>
                <w:sz w:val="16"/>
              </w:rPr>
            </w:r>
            <w:r>
              <w:rPr>
                <w:b/>
                <w:sz w:val="16"/>
              </w:rPr>
              <w:t>Difference</w:t>
            </w:r>
          </w:p>
        </w:tc>
      </w:tr>
      <w:tr>
        <w:tc>
          <w:tcPr>
            <w:tcW w:type="dxa" w:w="2448"/>
          </w:tcPr>
          <w:p>
            <w:pPr>
              <w:spacing w:after="0"/>
            </w:pPr>
            <w:r>
              <w:rPr>
                <w:sz w:val="16"/>
              </w:rPr>
            </w:r>
            <w:r>
              <w:rPr>
                <w:sz w:val="16"/>
              </w:rPr>
              <w:t>Natural-prior population (ten seeds)</w:t>
            </w:r>
          </w:p>
        </w:tc>
        <w:tc>
          <w:tcPr>
            <w:tcW w:type="dxa" w:w="2448"/>
          </w:tcPr>
          <w:p>
            <w:pPr>
              <w:spacing w:after="0"/>
            </w:pPr>
            <w:r>
              <w:rPr>
                <w:sz w:val="16"/>
              </w:rPr>
            </w:r>
            <w:r>
              <w:rPr>
                <w:sz w:val="16"/>
              </w:rPr>
              <w:t>0.887666</w:t>
            </w:r>
          </w:p>
        </w:tc>
        <w:tc>
          <w:tcPr>
            <w:tcW w:type="dxa" w:w="2448"/>
          </w:tcPr>
          <w:p>
            <w:pPr>
              <w:spacing w:after="0"/>
            </w:pPr>
            <w:r>
              <w:rPr>
                <w:sz w:val="16"/>
              </w:rPr>
            </w:r>
            <w:r>
              <w:rPr>
                <w:sz w:val="16"/>
              </w:rPr>
              <w:t>0.889734</w:t>
            </w:r>
          </w:p>
        </w:tc>
        <w:tc>
          <w:tcPr>
            <w:tcW w:type="dxa" w:w="2448"/>
          </w:tcPr>
          <w:p>
            <w:pPr>
              <w:spacing w:after="0"/>
            </w:pPr>
            <w:r>
              <w:rPr>
                <w:sz w:val="16"/>
              </w:rPr>
            </w:r>
            <w:r>
              <w:rPr>
                <w:b/>
                <w:sz w:val="16"/>
              </w:rPr>
              <w:t>+0.00207</w:t>
            </w:r>
          </w:p>
        </w:tc>
      </w:tr>
      <w:tr>
        <w:tc>
          <w:tcPr>
            <w:tcW w:type="dxa" w:w="2448"/>
          </w:tcPr>
          <w:p>
            <w:pPr>
              <w:spacing w:after="0"/>
            </w:pPr>
            <w:r>
              <w:rPr>
                <w:sz w:val="16"/>
              </w:rPr>
            </w:r>
            <w:r>
              <w:rPr>
                <w:sz w:val="16"/>
              </w:rPr>
              <w:t>Balanced control population (three seeds)</w:t>
            </w:r>
          </w:p>
        </w:tc>
        <w:tc>
          <w:tcPr>
            <w:tcW w:type="dxa" w:w="2448"/>
          </w:tcPr>
          <w:p>
            <w:pPr>
              <w:spacing w:after="0"/>
            </w:pPr>
            <w:r>
              <w:rPr>
                <w:sz w:val="16"/>
              </w:rPr>
            </w:r>
            <w:r>
              <w:rPr>
                <w:sz w:val="16"/>
              </w:rPr>
              <w:t>0.960997</w:t>
            </w:r>
          </w:p>
        </w:tc>
        <w:tc>
          <w:tcPr>
            <w:tcW w:type="dxa" w:w="2448"/>
          </w:tcPr>
          <w:p>
            <w:pPr>
              <w:spacing w:after="0"/>
            </w:pPr>
            <w:r>
              <w:rPr>
                <w:sz w:val="16"/>
              </w:rPr>
            </w:r>
            <w:r>
              <w:rPr>
                <w:sz w:val="16"/>
              </w:rPr>
              <w:t>0.963215</w:t>
            </w:r>
          </w:p>
        </w:tc>
        <w:tc>
          <w:tcPr>
            <w:tcW w:type="dxa" w:w="2448"/>
          </w:tcPr>
          <w:p>
            <w:pPr>
              <w:spacing w:after="0"/>
            </w:pPr>
            <w:r>
              <w:rPr>
                <w:sz w:val="16"/>
              </w:rPr>
            </w:r>
            <w:r>
              <w:rPr>
                <w:b/>
                <w:sz w:val="16"/>
              </w:rPr>
              <w:t>+0.00222</w:t>
            </w:r>
          </w:p>
        </w:tc>
      </w:tr>
      <w:tr>
        <w:tc>
          <w:tcPr>
            <w:tcW w:type="dxa" w:w="2448"/>
          </w:tcPr>
          <w:p>
            <w:pPr>
              <w:spacing w:after="0"/>
            </w:pPr>
            <w:r>
              <w:rPr>
                <w:sz w:val="16"/>
              </w:rPr>
            </w:r>
            <w:r>
              <w:rPr>
                <w:sz w:val="16"/>
              </w:rPr>
              <w:t>Ten repeated splits (mean +/- s.d.)</w:t>
            </w:r>
          </w:p>
        </w:tc>
        <w:tc>
          <w:tcPr>
            <w:tcW w:type="dxa" w:w="2448"/>
          </w:tcPr>
          <w:p>
            <w:pPr>
              <w:spacing w:after="0"/>
            </w:pPr>
            <w:r>
              <w:rPr>
                <w:sz w:val="16"/>
              </w:rPr>
            </w:r>
            <w:r>
              <w:rPr>
                <w:sz w:val="16"/>
              </w:rPr>
              <w:t>0.957028 +/- 0.010481</w:t>
            </w:r>
          </w:p>
        </w:tc>
        <w:tc>
          <w:tcPr>
            <w:tcW w:type="dxa" w:w="2448"/>
          </w:tcPr>
          <w:p>
            <w:pPr>
              <w:spacing w:after="0"/>
            </w:pPr>
            <w:r>
              <w:rPr>
                <w:sz w:val="16"/>
              </w:rPr>
            </w:r>
            <w:r>
              <w:rPr>
                <w:sz w:val="16"/>
              </w:rPr>
              <w:t>0.957177 +/- 0.011111</w:t>
            </w:r>
          </w:p>
        </w:tc>
        <w:tc>
          <w:tcPr>
            <w:tcW w:type="dxa" w:w="2448"/>
          </w:tcPr>
          <w:p>
            <w:pPr>
              <w:spacing w:after="0"/>
            </w:pPr>
            <w:r>
              <w:rPr>
                <w:sz w:val="16"/>
              </w:rPr>
            </w:r>
            <w:r>
              <w:rPr>
                <w:sz w:val="16"/>
              </w:rPr>
              <w:t>+0.000148 (sign-flip p = 0.969)</w:t>
            </w:r>
          </w:p>
        </w:tc>
      </w:tr>
    </w:tbl>
    <w:p>
      <w:pPr>
        <w:spacing w:after="40"/>
      </w:pPr>
    </w:p>
    <w:p>
      <w:r>
        <w:t xml:space="preserve">All three protocols agree: </w:t>
      </w:r>
      <w:r>
        <w:rPr>
          <w:b/>
        </w:rPr>
        <w:t>reducing dimensionality from 78 to 60 costs no discriminative power</w:t>
      </w:r>
      <w:r>
        <w:t>, and in two protocols it produces a small positive difference. Under ten repeated splits that difference (+0.00015) is nevertheless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pPr>
        <w:pStyle w:val="Heading2"/>
      </w:pPr>
      <w:r>
        <w:t>5.2 RQ2: Conditional weighting does not beat equal voting</w:t>
      </w:r>
    </w:p>
    <w:p>
      <w:r>
        <w:t>Table 4 gives the main results on both populations. Panel (a) is averaged over the ten seeds of the primary protocol; panel (b) remains the three-seed balanced control.</w:t>
      </w:r>
    </w:p>
    <w:p>
      <w:r>
        <w:rPr>
          <w:b/>
        </w:rPr>
        <w:t>Table 4. Main results on the two populations</w:t>
      </w:r>
    </w:p>
    <w:p>
      <w:r>
        <w:t>(a) Natural-prior population P_nat, 7,986 test rows, mean of ten seeds</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Model</w:t>
            </w:r>
          </w:p>
        </w:tc>
        <w:tc>
          <w:tcPr>
            <w:tcW w:type="dxa" w:w="1088"/>
          </w:tcPr>
          <w:p>
            <w:pPr>
              <w:spacing w:after="0"/>
            </w:pPr>
            <w:r>
              <w:rPr>
                <w:sz w:val="16"/>
              </w:rPr>
            </w:r>
            <w:r>
              <w:rPr>
                <w:b/>
                <w:sz w:val="16"/>
              </w:rPr>
              <w:t>Accuracy</w:t>
            </w:r>
          </w:p>
        </w:tc>
        <w:tc>
          <w:tcPr>
            <w:tcW w:type="dxa" w:w="1088"/>
          </w:tcPr>
          <w:p>
            <w:pPr>
              <w:spacing w:after="0"/>
            </w:pPr>
            <w:r>
              <w:rPr>
                <w:sz w:val="16"/>
              </w:rPr>
            </w:r>
            <w:r>
              <w:rPr>
                <w:b/>
                <w:sz w:val="16"/>
              </w:rPr>
              <w:t>Balanced accuracy</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Train (s)</w:t>
            </w:r>
          </w:p>
        </w:tc>
        <w:tc>
          <w:tcPr>
            <w:tcW w:type="dxa" w:w="1088"/>
          </w:tcPr>
          <w:p>
            <w:pPr>
              <w:spacing w:after="0"/>
            </w:pPr>
            <w:r>
              <w:rPr>
                <w:sz w:val="16"/>
              </w:rPr>
            </w:r>
            <w:r>
              <w:rPr>
                <w:b/>
                <w:sz w:val="16"/>
              </w:rPr>
              <w:t>Predict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0.97786</w:t>
            </w:r>
          </w:p>
        </w:tc>
        <w:tc>
          <w:tcPr>
            <w:tcW w:type="dxa" w:w="1088"/>
          </w:tcPr>
          <w:p>
            <w:pPr>
              <w:spacing w:after="0"/>
            </w:pPr>
            <w:r>
              <w:rPr>
                <w:sz w:val="16"/>
              </w:rPr>
            </w:r>
            <w:r>
              <w:rPr>
                <w:sz w:val="16"/>
              </w:rPr>
              <w:t>0.94820</w:t>
            </w:r>
          </w:p>
        </w:tc>
        <w:tc>
          <w:tcPr>
            <w:tcW w:type="dxa" w:w="1088"/>
          </w:tcPr>
          <w:p>
            <w:pPr>
              <w:spacing w:after="0"/>
            </w:pPr>
            <w:r>
              <w:rPr>
                <w:sz w:val="16"/>
              </w:rPr>
            </w:r>
            <w:r>
              <w:rPr>
                <w:b/>
                <w:sz w:val="16"/>
              </w:rPr>
              <w:t>0.889278</w:t>
            </w:r>
          </w:p>
        </w:tc>
        <w:tc>
          <w:tcPr>
            <w:tcW w:type="dxa" w:w="1088"/>
          </w:tcPr>
          <w:p>
            <w:pPr>
              <w:spacing w:after="0"/>
            </w:pPr>
            <w:r>
              <w:rPr>
                <w:sz w:val="16"/>
              </w:rPr>
            </w:r>
            <w:r>
              <w:rPr>
                <w:sz w:val="16"/>
              </w:rPr>
              <w:t>0.05183</w:t>
            </w:r>
          </w:p>
        </w:tc>
        <w:tc>
          <w:tcPr>
            <w:tcW w:type="dxa" w:w="1088"/>
          </w:tcPr>
          <w:p>
            <w:pPr>
              <w:spacing w:after="0"/>
            </w:pPr>
            <w:r>
              <w:rPr>
                <w:sz w:val="16"/>
              </w:rPr>
            </w:r>
            <w:r>
              <w:rPr>
                <w:sz w:val="16"/>
              </w:rPr>
              <w:t>0.006365</w:t>
            </w:r>
          </w:p>
        </w:tc>
        <w:tc>
          <w:tcPr>
            <w:tcW w:type="dxa" w:w="1088"/>
          </w:tcPr>
          <w:p>
            <w:pPr>
              <w:spacing w:after="0"/>
            </w:pPr>
            <w:r>
              <w:rPr>
                <w:sz w:val="16"/>
              </w:rPr>
            </w:r>
            <w:r>
              <w:rPr>
                <w:sz w:val="16"/>
              </w:rPr>
              <w:t>0.006849</w:t>
            </w:r>
          </w:p>
        </w:tc>
        <w:tc>
          <w:tcPr>
            <w:tcW w:type="dxa" w:w="1088"/>
          </w:tcPr>
          <w:p>
            <w:pPr>
              <w:spacing w:after="0"/>
            </w:pPr>
            <w:r>
              <w:rPr>
                <w:sz w:val="16"/>
              </w:rPr>
            </w:r>
            <w:r>
              <w:rPr>
                <w:sz w:val="16"/>
              </w:rPr>
              <w:t>93.256</w:t>
            </w:r>
          </w:p>
        </w:tc>
        <w:tc>
          <w:tcPr>
            <w:tcW w:type="dxa" w:w="1088"/>
          </w:tcPr>
          <w:p>
            <w:pPr>
              <w:spacing w:after="0"/>
            </w:pPr>
            <w:r>
              <w:rPr>
                <w:sz w:val="16"/>
              </w:rPr>
            </w:r>
            <w:r>
              <w:rPr>
                <w:sz w:val="16"/>
              </w:rPr>
              <w:t>0.2438</w:t>
            </w:r>
          </w:p>
        </w:tc>
      </w:tr>
      <w:tr>
        <w:tc>
          <w:tcPr>
            <w:tcW w:type="dxa" w:w="1088"/>
          </w:tcPr>
          <w:p>
            <w:pPr>
              <w:spacing w:after="0"/>
            </w:pPr>
            <w:r>
              <w:rPr>
                <w:sz w:val="16"/>
              </w:rPr>
            </w:r>
            <w:r>
              <w:rPr>
                <w:sz w:val="16"/>
              </w:rPr>
              <w:t>Equal RF (chi-square, k = 60)</w:t>
            </w:r>
          </w:p>
        </w:tc>
        <w:tc>
          <w:tcPr>
            <w:tcW w:type="dxa" w:w="1088"/>
          </w:tcPr>
          <w:p>
            <w:pPr>
              <w:spacing w:after="0"/>
            </w:pPr>
            <w:r>
              <w:rPr>
                <w:sz w:val="16"/>
              </w:rPr>
            </w:r>
            <w:r>
              <w:rPr>
                <w:sz w:val="16"/>
              </w:rPr>
              <w:t>0.97779</w:t>
            </w:r>
          </w:p>
        </w:tc>
        <w:tc>
          <w:tcPr>
            <w:tcW w:type="dxa" w:w="1088"/>
          </w:tcPr>
          <w:p>
            <w:pPr>
              <w:spacing w:after="0"/>
            </w:pPr>
            <w:r>
              <w:rPr>
                <w:sz w:val="16"/>
              </w:rPr>
            </w:r>
            <w:r>
              <w:rPr>
                <w:sz w:val="16"/>
              </w:rPr>
              <w:t>0.95006</w:t>
            </w:r>
          </w:p>
        </w:tc>
        <w:tc>
          <w:tcPr>
            <w:tcW w:type="dxa" w:w="1088"/>
          </w:tcPr>
          <w:p>
            <w:pPr>
              <w:spacing w:after="0"/>
            </w:pPr>
            <w:r>
              <w:rPr>
                <w:sz w:val="16"/>
              </w:rPr>
            </w:r>
            <w:r>
              <w:rPr>
                <w:b/>
                <w:sz w:val="16"/>
              </w:rPr>
              <w:t>0.889734</w:t>
            </w:r>
          </w:p>
        </w:tc>
        <w:tc>
          <w:tcPr>
            <w:tcW w:type="dxa" w:w="1088"/>
          </w:tcPr>
          <w:p>
            <w:pPr>
              <w:spacing w:after="0"/>
            </w:pPr>
            <w:r>
              <w:rPr>
                <w:sz w:val="16"/>
              </w:rPr>
            </w:r>
            <w:r>
              <w:rPr>
                <w:sz w:val="16"/>
              </w:rPr>
              <w:t>0.05220</w:t>
            </w:r>
          </w:p>
        </w:tc>
        <w:tc>
          <w:tcPr>
            <w:tcW w:type="dxa" w:w="1088"/>
          </w:tcPr>
          <w:p>
            <w:pPr>
              <w:spacing w:after="0"/>
            </w:pPr>
            <w:r>
              <w:rPr>
                <w:sz w:val="16"/>
              </w:rPr>
            </w:r>
            <w:r>
              <w:rPr>
                <w:sz w:val="16"/>
              </w:rPr>
              <w:t>0.006255</w:t>
            </w:r>
          </w:p>
        </w:tc>
        <w:tc>
          <w:tcPr>
            <w:tcW w:type="dxa" w:w="1088"/>
          </w:tcPr>
          <w:p>
            <w:pPr>
              <w:spacing w:after="0"/>
            </w:pPr>
            <w:r>
              <w:rPr>
                <w:sz w:val="16"/>
              </w:rPr>
            </w:r>
            <w:r>
              <w:rPr>
                <w:sz w:val="16"/>
              </w:rPr>
              <w:t>0.004493</w:t>
            </w:r>
          </w:p>
        </w:tc>
        <w:tc>
          <w:tcPr>
            <w:tcW w:type="dxa" w:w="1088"/>
          </w:tcPr>
          <w:p>
            <w:pPr>
              <w:spacing w:after="0"/>
            </w:pPr>
            <w:r>
              <w:rPr>
                <w:sz w:val="16"/>
              </w:rPr>
            </w:r>
            <w:r>
              <w:rPr>
                <w:sz w:val="16"/>
              </w:rPr>
              <w:t>1.158</w:t>
            </w:r>
          </w:p>
        </w:tc>
        <w:tc>
          <w:tcPr>
            <w:tcW w:type="dxa" w:w="1088"/>
          </w:tcPr>
          <w:p>
            <w:pPr>
              <w:spacing w:after="0"/>
            </w:pPr>
            <w:r>
              <w:rPr>
                <w:sz w:val="16"/>
              </w:rPr>
            </w:r>
            <w:r>
              <w:rPr>
                <w:sz w:val="16"/>
              </w:rPr>
              <w:t>0.0464</w:t>
            </w:r>
          </w:p>
        </w:tc>
      </w:tr>
      <w:tr>
        <w:tc>
          <w:tcPr>
            <w:tcW w:type="dxa" w:w="1088"/>
          </w:tcPr>
          <w:p>
            <w:pPr>
              <w:spacing w:after="0"/>
            </w:pPr>
            <w:r>
              <w:rPr>
                <w:sz w:val="16"/>
              </w:rPr>
            </w:r>
            <w:r>
              <w:rPr>
                <w:sz w:val="16"/>
              </w:rPr>
              <w:t>Equal RF (full features)</w:t>
            </w:r>
          </w:p>
        </w:tc>
        <w:tc>
          <w:tcPr>
            <w:tcW w:type="dxa" w:w="1088"/>
          </w:tcPr>
          <w:p>
            <w:pPr>
              <w:spacing w:after="0"/>
            </w:pPr>
            <w:r>
              <w:rPr>
                <w:sz w:val="16"/>
              </w:rPr>
            </w:r>
            <w:r>
              <w:rPr>
                <w:sz w:val="16"/>
              </w:rPr>
              <w:t>0.97692</w:t>
            </w:r>
          </w:p>
        </w:tc>
        <w:tc>
          <w:tcPr>
            <w:tcW w:type="dxa" w:w="1088"/>
          </w:tcPr>
          <w:p>
            <w:pPr>
              <w:spacing w:after="0"/>
            </w:pPr>
            <w:r>
              <w:rPr>
                <w:sz w:val="16"/>
              </w:rPr>
            </w:r>
            <w:r>
              <w:rPr>
                <w:sz w:val="16"/>
              </w:rPr>
              <w:t>0.95055</w:t>
            </w:r>
          </w:p>
        </w:tc>
        <w:tc>
          <w:tcPr>
            <w:tcW w:type="dxa" w:w="1088"/>
          </w:tcPr>
          <w:p>
            <w:pPr>
              <w:spacing w:after="0"/>
            </w:pPr>
            <w:r>
              <w:rPr>
                <w:sz w:val="16"/>
              </w:rPr>
            </w:r>
            <w:r>
              <w:rPr>
                <w:b/>
                <w:sz w:val="16"/>
              </w:rPr>
              <w:t>0.887666</w:t>
            </w:r>
          </w:p>
        </w:tc>
        <w:tc>
          <w:tcPr>
            <w:tcW w:type="dxa" w:w="1088"/>
          </w:tcPr>
          <w:p>
            <w:pPr>
              <w:spacing w:after="0"/>
            </w:pPr>
            <w:r>
              <w:rPr>
                <w:sz w:val="16"/>
              </w:rPr>
            </w:r>
            <w:r>
              <w:rPr>
                <w:sz w:val="16"/>
              </w:rPr>
              <w:t>0.05445</w:t>
            </w:r>
          </w:p>
        </w:tc>
        <w:tc>
          <w:tcPr>
            <w:tcW w:type="dxa" w:w="1088"/>
          </w:tcPr>
          <w:p>
            <w:pPr>
              <w:spacing w:after="0"/>
            </w:pPr>
            <w:r>
              <w:rPr>
                <w:sz w:val="16"/>
              </w:rPr>
            </w:r>
            <w:r>
              <w:rPr>
                <w:sz w:val="16"/>
              </w:rPr>
              <w:t>0.006629</w:t>
            </w:r>
          </w:p>
        </w:tc>
        <w:tc>
          <w:tcPr>
            <w:tcW w:type="dxa" w:w="1088"/>
          </w:tcPr>
          <w:p>
            <w:pPr>
              <w:spacing w:after="0"/>
            </w:pPr>
            <w:r>
              <w:rPr>
                <w:sz w:val="16"/>
              </w:rPr>
            </w:r>
            <w:r>
              <w:rPr>
                <w:sz w:val="16"/>
              </w:rPr>
              <w:t>0.005492</w:t>
            </w:r>
          </w:p>
        </w:tc>
        <w:tc>
          <w:tcPr>
            <w:tcW w:type="dxa" w:w="1088"/>
          </w:tcPr>
          <w:p>
            <w:pPr>
              <w:spacing w:after="0"/>
            </w:pPr>
            <w:r>
              <w:rPr>
                <w:sz w:val="16"/>
              </w:rPr>
            </w:r>
            <w:r>
              <w:rPr>
                <w:sz w:val="16"/>
              </w:rPr>
              <w:t>1.154</w:t>
            </w:r>
          </w:p>
        </w:tc>
        <w:tc>
          <w:tcPr>
            <w:tcW w:type="dxa" w:w="1088"/>
          </w:tcPr>
          <w:p>
            <w:pPr>
              <w:spacing w:after="0"/>
            </w:pPr>
            <w:r>
              <w:rPr>
                <w:sz w:val="16"/>
              </w:rPr>
            </w:r>
            <w:r>
              <w:rPr>
                <w:sz w:val="16"/>
              </w:rPr>
              <w:t>0.0465</w:t>
            </w:r>
          </w:p>
        </w:tc>
      </w:tr>
      <w:tr>
        <w:tc>
          <w:tcPr>
            <w:tcW w:type="dxa" w:w="1088"/>
          </w:tcPr>
          <w:p>
            <w:pPr>
              <w:spacing w:after="0"/>
            </w:pPr>
            <w:r>
              <w:rPr>
                <w:sz w:val="16"/>
              </w:rPr>
            </w:r>
            <w:r>
              <w:rPr>
                <w:sz w:val="16"/>
              </w:rPr>
              <w:t>ExtraTrees (chi-square)</w:t>
            </w:r>
          </w:p>
        </w:tc>
        <w:tc>
          <w:tcPr>
            <w:tcW w:type="dxa" w:w="1088"/>
          </w:tcPr>
          <w:p>
            <w:pPr>
              <w:spacing w:after="0"/>
            </w:pPr>
            <w:r>
              <w:rPr>
                <w:sz w:val="16"/>
              </w:rPr>
            </w:r>
            <w:r>
              <w:rPr>
                <w:sz w:val="16"/>
              </w:rPr>
              <w:t>0.96344</w:t>
            </w:r>
          </w:p>
        </w:tc>
        <w:tc>
          <w:tcPr>
            <w:tcW w:type="dxa" w:w="1088"/>
          </w:tcPr>
          <w:p>
            <w:pPr>
              <w:spacing w:after="0"/>
            </w:pPr>
            <w:r>
              <w:rPr>
                <w:sz w:val="16"/>
              </w:rPr>
            </w:r>
            <w:r>
              <w:rPr>
                <w:sz w:val="16"/>
              </w:rPr>
              <w:t>0.96215</w:t>
            </w:r>
          </w:p>
        </w:tc>
        <w:tc>
          <w:tcPr>
            <w:tcW w:type="dxa" w:w="1088"/>
          </w:tcPr>
          <w:p>
            <w:pPr>
              <w:spacing w:after="0"/>
            </w:pPr>
            <w:r>
              <w:rPr>
                <w:sz w:val="16"/>
              </w:rPr>
            </w:r>
            <w:r>
              <w:rPr>
                <w:b/>
                <w:sz w:val="16"/>
              </w:rPr>
              <w:t>0.857490</w:t>
            </w:r>
          </w:p>
        </w:tc>
        <w:tc>
          <w:tcPr>
            <w:tcW w:type="dxa" w:w="1088"/>
          </w:tcPr>
          <w:p>
            <w:pPr>
              <w:spacing w:after="0"/>
            </w:pPr>
            <w:r>
              <w:rPr>
                <w:sz w:val="16"/>
              </w:rPr>
            </w:r>
            <w:r>
              <w:rPr>
                <w:sz w:val="16"/>
              </w:rPr>
              <w:t>0.08969</w:t>
            </w:r>
          </w:p>
        </w:tc>
        <w:tc>
          <w:tcPr>
            <w:tcW w:type="dxa" w:w="1088"/>
          </w:tcPr>
          <w:p>
            <w:pPr>
              <w:spacing w:after="0"/>
            </w:pPr>
            <w:r>
              <w:rPr>
                <w:sz w:val="16"/>
              </w:rPr>
            </w:r>
            <w:r>
              <w:rPr>
                <w:sz w:val="16"/>
              </w:rPr>
              <w:t>0.010995</w:t>
            </w:r>
          </w:p>
        </w:tc>
        <w:tc>
          <w:tcPr>
            <w:tcW w:type="dxa" w:w="1088"/>
          </w:tcPr>
          <w:p>
            <w:pPr>
              <w:spacing w:after="0"/>
            </w:pPr>
            <w:r>
              <w:rPr>
                <w:sz w:val="16"/>
              </w:rPr>
            </w:r>
            <w:r>
              <w:rPr>
                <w:sz w:val="16"/>
              </w:rPr>
              <w:t>0.017003</w:t>
            </w:r>
          </w:p>
        </w:tc>
        <w:tc>
          <w:tcPr>
            <w:tcW w:type="dxa" w:w="1088"/>
          </w:tcPr>
          <w:p>
            <w:pPr>
              <w:spacing w:after="0"/>
            </w:pPr>
            <w:r>
              <w:rPr>
                <w:sz w:val="16"/>
              </w:rPr>
            </w:r>
            <w:r>
              <w:rPr>
                <w:sz w:val="16"/>
              </w:rPr>
              <w:t>0.624</w:t>
            </w:r>
          </w:p>
        </w:tc>
        <w:tc>
          <w:tcPr>
            <w:tcW w:type="dxa" w:w="1088"/>
          </w:tcPr>
          <w:p>
            <w:pPr>
              <w:spacing w:after="0"/>
            </w:pPr>
            <w:r>
              <w:rPr>
                <w:sz w:val="16"/>
              </w:rPr>
            </w:r>
            <w:r>
              <w:rPr>
                <w:sz w:val="16"/>
              </w:rPr>
              <w:t>0.0498</w:t>
            </w:r>
          </w:p>
        </w:tc>
      </w:tr>
      <w:tr>
        <w:tc>
          <w:tcPr>
            <w:tcW w:type="dxa" w:w="1088"/>
          </w:tcPr>
          <w:p>
            <w:pPr>
              <w:spacing w:after="0"/>
            </w:pPr>
            <w:r>
              <w:rPr>
                <w:sz w:val="16"/>
              </w:rPr>
            </w:r>
            <w:r>
              <w:rPr>
                <w:sz w:val="16"/>
              </w:rPr>
              <w:t>MLP (128 hidden units, k = 60)</w:t>
            </w:r>
          </w:p>
        </w:tc>
        <w:tc>
          <w:tcPr>
            <w:tcW w:type="dxa" w:w="1088"/>
          </w:tcPr>
          <w:p>
            <w:pPr>
              <w:spacing w:after="0"/>
            </w:pPr>
            <w:r>
              <w:rPr>
                <w:sz w:val="16"/>
              </w:rPr>
            </w:r>
            <w:r>
              <w:rPr>
                <w:sz w:val="16"/>
              </w:rPr>
              <w:t>0.97679</w:t>
            </w:r>
          </w:p>
        </w:tc>
        <w:tc>
          <w:tcPr>
            <w:tcW w:type="dxa" w:w="1088"/>
          </w:tcPr>
          <w:p>
            <w:pPr>
              <w:spacing w:after="0"/>
            </w:pPr>
            <w:r>
              <w:rPr>
                <w:sz w:val="16"/>
              </w:rPr>
            </w:r>
            <w:r>
              <w:rPr>
                <w:sz w:val="16"/>
              </w:rPr>
              <w:t>0.79666</w:t>
            </w:r>
          </w:p>
        </w:tc>
        <w:tc>
          <w:tcPr>
            <w:tcW w:type="dxa" w:w="1088"/>
          </w:tcPr>
          <w:p>
            <w:pPr>
              <w:spacing w:after="0"/>
            </w:pPr>
            <w:r>
              <w:rPr>
                <w:sz w:val="16"/>
              </w:rPr>
            </w:r>
            <w:r>
              <w:rPr>
                <w:sz w:val="16"/>
              </w:rPr>
              <w:t>0.797654</w:t>
            </w:r>
          </w:p>
        </w:tc>
        <w:tc>
          <w:tcPr>
            <w:tcW w:type="dxa" w:w="1088"/>
          </w:tcPr>
          <w:p>
            <w:pPr>
              <w:spacing w:after="0"/>
            </w:pPr>
            <w:r>
              <w:rPr>
                <w:sz w:val="16"/>
              </w:rPr>
            </w:r>
            <w:r>
              <w:rPr>
                <w:sz w:val="16"/>
              </w:rPr>
              <w:t>0.06256</w:t>
            </w:r>
          </w:p>
        </w:tc>
        <w:tc>
          <w:tcPr>
            <w:tcW w:type="dxa" w:w="1088"/>
          </w:tcPr>
          <w:p>
            <w:pPr>
              <w:spacing w:after="0"/>
            </w:pPr>
            <w:r>
              <w:rPr>
                <w:sz w:val="16"/>
              </w:rPr>
            </w:r>
            <w:r>
              <w:rPr>
                <w:sz w:val="16"/>
              </w:rPr>
              <w:t>0.036701</w:t>
            </w:r>
          </w:p>
        </w:tc>
        <w:tc>
          <w:tcPr>
            <w:tcW w:type="dxa" w:w="1088"/>
          </w:tcPr>
          <w:p>
            <w:pPr>
              <w:spacing w:after="0"/>
            </w:pPr>
            <w:r>
              <w:rPr>
                <w:sz w:val="16"/>
              </w:rPr>
            </w:r>
            <w:r>
              <w:rPr>
                <w:sz w:val="16"/>
              </w:rPr>
              <w:t>0.009705</w:t>
            </w:r>
          </w:p>
        </w:tc>
        <w:tc>
          <w:tcPr>
            <w:tcW w:type="dxa" w:w="1088"/>
          </w:tcPr>
          <w:p>
            <w:pPr>
              <w:spacing w:after="0"/>
            </w:pPr>
            <w:r>
              <w:rPr>
                <w:sz w:val="16"/>
              </w:rPr>
            </w:r>
            <w:r>
              <w:rPr>
                <w:sz w:val="16"/>
              </w:rPr>
              <w:t>21.88</w:t>
            </w:r>
          </w:p>
        </w:tc>
        <w:tc>
          <w:tcPr>
            <w:tcW w:type="dxa" w:w="1088"/>
          </w:tcPr>
          <w:p>
            <w:pPr>
              <w:spacing w:after="0"/>
            </w:pPr>
            <w:r>
              <w:rPr>
                <w:sz w:val="16"/>
              </w:rPr>
            </w:r>
            <w:r>
              <w:rPr>
                <w:sz w:val="16"/>
              </w:rPr>
              <w:t>0.0079</w:t>
            </w:r>
          </w:p>
        </w:tc>
      </w:tr>
    </w:tbl>
    <w:p>
      <w:pPr>
        <w:spacing w:after="40"/>
      </w:pPr>
    </w:p>
    <w:p>
      <w:r>
        <w:t>(b) Balanced control population P_bal, 505 test rows</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Model</w:t>
            </w:r>
          </w:p>
        </w:tc>
        <w:tc>
          <w:tcPr>
            <w:tcW w:type="dxa" w:w="1088"/>
          </w:tcPr>
          <w:p>
            <w:pPr>
              <w:spacing w:after="0"/>
            </w:pPr>
            <w:r>
              <w:rPr>
                <w:sz w:val="16"/>
              </w:rPr>
            </w:r>
            <w:r>
              <w:rPr>
                <w:b/>
                <w:sz w:val="16"/>
              </w:rPr>
              <w:t>Accuracy</w:t>
            </w:r>
          </w:p>
        </w:tc>
        <w:tc>
          <w:tcPr>
            <w:tcW w:type="dxa" w:w="1088"/>
          </w:tcPr>
          <w:p>
            <w:pPr>
              <w:spacing w:after="0"/>
            </w:pPr>
            <w:r>
              <w:rPr>
                <w:sz w:val="16"/>
              </w:rPr>
            </w:r>
            <w:r>
              <w:rPr>
                <w:b/>
                <w:sz w:val="16"/>
              </w:rPr>
              <w:t>Balanced accuracy</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Train (s)</w:t>
            </w:r>
          </w:p>
        </w:tc>
        <w:tc>
          <w:tcPr>
            <w:tcW w:type="dxa" w:w="1088"/>
          </w:tcPr>
          <w:p>
            <w:pPr>
              <w:spacing w:after="0"/>
            </w:pPr>
            <w:r>
              <w:rPr>
                <w:sz w:val="16"/>
              </w:rPr>
            </w:r>
            <w:r>
              <w:rPr>
                <w:b/>
                <w:sz w:val="16"/>
              </w:rPr>
              <w:t>Predict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0.96172</w:t>
            </w:r>
          </w:p>
        </w:tc>
        <w:tc>
          <w:tcPr>
            <w:tcW w:type="dxa" w:w="1088"/>
          </w:tcPr>
          <w:p>
            <w:pPr>
              <w:spacing w:after="0"/>
            </w:pPr>
            <w:r>
              <w:rPr>
                <w:sz w:val="16"/>
              </w:rPr>
            </w:r>
            <w:r>
              <w:rPr>
                <w:sz w:val="16"/>
              </w:rPr>
              <w:t>0.96172</w:t>
            </w:r>
          </w:p>
        </w:tc>
        <w:tc>
          <w:tcPr>
            <w:tcW w:type="dxa" w:w="1088"/>
          </w:tcPr>
          <w:p>
            <w:pPr>
              <w:spacing w:after="0"/>
            </w:pPr>
            <w:r>
              <w:rPr>
                <w:sz w:val="16"/>
              </w:rPr>
            </w:r>
            <w:r>
              <w:rPr>
                <w:sz w:val="16"/>
              </w:rPr>
              <w:t>0.961807</w:t>
            </w:r>
          </w:p>
        </w:tc>
        <w:tc>
          <w:tcPr>
            <w:tcW w:type="dxa" w:w="1088"/>
          </w:tcPr>
          <w:p>
            <w:pPr>
              <w:spacing w:after="0"/>
            </w:pPr>
            <w:r>
              <w:rPr>
                <w:sz w:val="16"/>
              </w:rPr>
            </w:r>
            <w:r>
              <w:rPr>
                <w:sz w:val="16"/>
              </w:rPr>
              <w:t>0.12410</w:t>
            </w:r>
          </w:p>
        </w:tc>
        <w:tc>
          <w:tcPr>
            <w:tcW w:type="dxa" w:w="1088"/>
          </w:tcPr>
          <w:p>
            <w:pPr>
              <w:spacing w:after="0"/>
            </w:pPr>
            <w:r>
              <w:rPr>
                <w:sz w:val="16"/>
              </w:rPr>
            </w:r>
            <w:r>
              <w:rPr>
                <w:sz w:val="16"/>
              </w:rPr>
              <w:t>0.012751</w:t>
            </w:r>
          </w:p>
        </w:tc>
        <w:tc>
          <w:tcPr>
            <w:tcW w:type="dxa" w:w="1088"/>
          </w:tcPr>
          <w:p>
            <w:pPr>
              <w:spacing w:after="0"/>
            </w:pPr>
            <w:r>
              <w:rPr>
                <w:sz w:val="16"/>
              </w:rPr>
            </w:r>
            <w:r>
              <w:rPr>
                <w:b/>
                <w:sz w:val="16"/>
              </w:rPr>
              <w:t>0.024483</w:t>
            </w:r>
          </w:p>
        </w:tc>
        <w:tc>
          <w:tcPr>
            <w:tcW w:type="dxa" w:w="1088"/>
          </w:tcPr>
          <w:p>
            <w:pPr>
              <w:spacing w:after="0"/>
            </w:pPr>
            <w:r>
              <w:rPr>
                <w:sz w:val="16"/>
              </w:rPr>
            </w:r>
            <w:r>
              <w:rPr>
                <w:sz w:val="16"/>
              </w:rPr>
              <w:t>9.130</w:t>
            </w:r>
          </w:p>
        </w:tc>
        <w:tc>
          <w:tcPr>
            <w:tcW w:type="dxa" w:w="1088"/>
          </w:tcPr>
          <w:p>
            <w:pPr>
              <w:spacing w:after="0"/>
            </w:pPr>
            <w:r>
              <w:rPr>
                <w:sz w:val="16"/>
              </w:rPr>
            </w:r>
            <w:r>
              <w:rPr>
                <w:sz w:val="16"/>
              </w:rPr>
              <w:t>0.119</w:t>
            </w:r>
          </w:p>
        </w:tc>
      </w:tr>
      <w:tr>
        <w:tc>
          <w:tcPr>
            <w:tcW w:type="dxa" w:w="1088"/>
          </w:tcPr>
          <w:p>
            <w:pPr>
              <w:spacing w:after="0"/>
            </w:pPr>
            <w:r>
              <w:rPr>
                <w:sz w:val="16"/>
              </w:rPr>
            </w:r>
            <w:r>
              <w:rPr>
                <w:sz w:val="16"/>
              </w:rPr>
              <w:t>Equal RF (chi-square)</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0.963215</w:t>
            </w:r>
          </w:p>
        </w:tc>
        <w:tc>
          <w:tcPr>
            <w:tcW w:type="dxa" w:w="1088"/>
          </w:tcPr>
          <w:p>
            <w:pPr>
              <w:spacing w:after="0"/>
            </w:pPr>
            <w:r>
              <w:rPr>
                <w:sz w:val="16"/>
              </w:rPr>
            </w:r>
            <w:r>
              <w:rPr>
                <w:sz w:val="16"/>
              </w:rPr>
              <w:t>0.13569</w:t>
            </w:r>
          </w:p>
        </w:tc>
        <w:tc>
          <w:tcPr>
            <w:tcW w:type="dxa" w:w="1088"/>
          </w:tcPr>
          <w:p>
            <w:pPr>
              <w:spacing w:after="0"/>
            </w:pPr>
            <w:r>
              <w:rPr>
                <w:sz w:val="16"/>
              </w:rPr>
            </w:r>
            <w:r>
              <w:rPr>
                <w:sz w:val="16"/>
              </w:rPr>
              <w:t>0.013453</w:t>
            </w:r>
          </w:p>
        </w:tc>
        <w:tc>
          <w:tcPr>
            <w:tcW w:type="dxa" w:w="1088"/>
          </w:tcPr>
          <w:p>
            <w:pPr>
              <w:spacing w:after="0"/>
            </w:pPr>
            <w:r>
              <w:rPr>
                <w:sz w:val="16"/>
              </w:rPr>
            </w:r>
            <w:r>
              <w:rPr>
                <w:sz w:val="16"/>
              </w:rPr>
              <w:t>0.026132</w:t>
            </w:r>
          </w:p>
        </w:tc>
        <w:tc>
          <w:tcPr>
            <w:tcW w:type="dxa" w:w="1088"/>
          </w:tcPr>
          <w:p>
            <w:pPr>
              <w:spacing w:after="0"/>
            </w:pPr>
            <w:r>
              <w:rPr>
                <w:sz w:val="16"/>
              </w:rPr>
            </w:r>
            <w:r>
              <w:rPr>
                <w:sz w:val="16"/>
              </w:rPr>
              <w:t>0.451</w:t>
            </w:r>
          </w:p>
        </w:tc>
        <w:tc>
          <w:tcPr>
            <w:tcW w:type="dxa" w:w="1088"/>
          </w:tcPr>
          <w:p>
            <w:pPr>
              <w:spacing w:after="0"/>
            </w:pPr>
            <w:r>
              <w:rPr>
                <w:sz w:val="16"/>
              </w:rPr>
            </w:r>
            <w:r>
              <w:rPr>
                <w:sz w:val="16"/>
              </w:rPr>
              <w:t>0.0284</w:t>
            </w:r>
          </w:p>
        </w:tc>
      </w:tr>
      <w:tr>
        <w:tc>
          <w:tcPr>
            <w:tcW w:type="dxa" w:w="1088"/>
          </w:tcPr>
          <w:p>
            <w:pPr>
              <w:spacing w:after="0"/>
            </w:pPr>
            <w:r>
              <w:rPr>
                <w:sz w:val="16"/>
              </w:rPr>
            </w:r>
            <w:r>
              <w:rPr>
                <w:sz w:val="16"/>
              </w:rPr>
              <w:t>Equal RF (full features)</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0.960997</w:t>
            </w:r>
          </w:p>
        </w:tc>
        <w:tc>
          <w:tcPr>
            <w:tcW w:type="dxa" w:w="1088"/>
          </w:tcPr>
          <w:p>
            <w:pPr>
              <w:spacing w:after="0"/>
            </w:pPr>
            <w:r>
              <w:rPr>
                <w:sz w:val="16"/>
              </w:rPr>
            </w:r>
            <w:r>
              <w:rPr>
                <w:b/>
                <w:sz w:val="16"/>
              </w:rPr>
              <w:t>0.12237</w:t>
            </w:r>
          </w:p>
        </w:tc>
        <w:tc>
          <w:tcPr>
            <w:tcW w:type="dxa" w:w="1088"/>
          </w:tcPr>
          <w:p>
            <w:pPr>
              <w:spacing w:after="0"/>
            </w:pPr>
            <w:r>
              <w:rPr>
                <w:sz w:val="16"/>
              </w:rPr>
            </w:r>
            <w:r>
              <w:rPr>
                <w:b/>
                <w:sz w:val="16"/>
              </w:rPr>
              <w:t>0.012542</w:t>
            </w:r>
          </w:p>
        </w:tc>
        <w:tc>
          <w:tcPr>
            <w:tcW w:type="dxa" w:w="1088"/>
          </w:tcPr>
          <w:p>
            <w:pPr>
              <w:spacing w:after="0"/>
            </w:pPr>
            <w:r>
              <w:rPr>
                <w:sz w:val="16"/>
              </w:rPr>
            </w:r>
            <w:r>
              <w:rPr>
                <w:sz w:val="16"/>
              </w:rPr>
              <w:t>0.025232</w:t>
            </w:r>
          </w:p>
        </w:tc>
        <w:tc>
          <w:tcPr>
            <w:tcW w:type="dxa" w:w="1088"/>
          </w:tcPr>
          <w:p>
            <w:pPr>
              <w:spacing w:after="0"/>
            </w:pPr>
            <w:r>
              <w:rPr>
                <w:sz w:val="16"/>
              </w:rPr>
            </w:r>
            <w:r>
              <w:rPr>
                <w:sz w:val="16"/>
              </w:rPr>
              <w:t>0.299</w:t>
            </w:r>
          </w:p>
        </w:tc>
        <w:tc>
          <w:tcPr>
            <w:tcW w:type="dxa" w:w="1088"/>
          </w:tcPr>
          <w:p>
            <w:pPr>
              <w:spacing w:after="0"/>
            </w:pPr>
            <w:r>
              <w:rPr>
                <w:sz w:val="16"/>
              </w:rPr>
            </w:r>
            <w:r>
              <w:rPr>
                <w:sz w:val="16"/>
              </w:rPr>
              <w:t>0.0283</w:t>
            </w:r>
          </w:p>
        </w:tc>
      </w:tr>
      <w:tr>
        <w:tc>
          <w:tcPr>
            <w:tcW w:type="dxa" w:w="1088"/>
          </w:tcPr>
          <w:p>
            <w:pPr>
              <w:spacing w:after="0"/>
            </w:pPr>
            <w:r>
              <w:rPr>
                <w:sz w:val="16"/>
              </w:rPr>
            </w:r>
            <w:r>
              <w:rPr>
                <w:sz w:val="16"/>
              </w:rPr>
              <w:t>ExtraTrees (chi-square)</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0.960947</w:t>
            </w:r>
          </w:p>
        </w:tc>
        <w:tc>
          <w:tcPr>
            <w:tcW w:type="dxa" w:w="1088"/>
          </w:tcPr>
          <w:p>
            <w:pPr>
              <w:spacing w:after="0"/>
            </w:pPr>
            <w:r>
              <w:rPr>
                <w:sz w:val="16"/>
              </w:rPr>
            </w:r>
            <w:r>
              <w:rPr>
                <w:sz w:val="16"/>
              </w:rPr>
              <w:t>0.15179</w:t>
            </w:r>
          </w:p>
        </w:tc>
        <w:tc>
          <w:tcPr>
            <w:tcW w:type="dxa" w:w="1088"/>
          </w:tcPr>
          <w:p>
            <w:pPr>
              <w:spacing w:after="0"/>
            </w:pPr>
            <w:r>
              <w:rPr>
                <w:sz w:val="16"/>
              </w:rPr>
            </w:r>
            <w:r>
              <w:rPr>
                <w:sz w:val="16"/>
              </w:rPr>
              <w:t>0.014300</w:t>
            </w:r>
          </w:p>
        </w:tc>
        <w:tc>
          <w:tcPr>
            <w:tcW w:type="dxa" w:w="1088"/>
          </w:tcPr>
          <w:p>
            <w:pPr>
              <w:spacing w:after="0"/>
            </w:pPr>
            <w:r>
              <w:rPr>
                <w:sz w:val="16"/>
              </w:rPr>
            </w:r>
            <w:r>
              <w:rPr>
                <w:sz w:val="16"/>
              </w:rPr>
              <w:t>0.036976</w:t>
            </w:r>
          </w:p>
        </w:tc>
        <w:tc>
          <w:tcPr>
            <w:tcW w:type="dxa" w:w="1088"/>
          </w:tcPr>
          <w:p>
            <w:pPr>
              <w:spacing w:after="0"/>
            </w:pPr>
            <w:r>
              <w:rPr>
                <w:sz w:val="16"/>
              </w:rPr>
            </w:r>
            <w:r>
              <w:rPr>
                <w:sz w:val="16"/>
              </w:rPr>
              <w:t>0.494</w:t>
            </w:r>
          </w:p>
        </w:tc>
        <w:tc>
          <w:tcPr>
            <w:tcW w:type="dxa" w:w="1088"/>
          </w:tcPr>
          <w:p>
            <w:pPr>
              <w:spacing w:after="0"/>
            </w:pPr>
            <w:r>
              <w:rPr>
                <w:sz w:val="16"/>
              </w:rPr>
            </w:r>
            <w:r>
              <w:rPr>
                <w:sz w:val="16"/>
              </w:rPr>
              <w:t>0.0296</w:t>
            </w:r>
          </w:p>
        </w:tc>
      </w:tr>
      <w:tr>
        <w:tc>
          <w:tcPr>
            <w:tcW w:type="dxa" w:w="1088"/>
          </w:tcPr>
          <w:p>
            <w:pPr>
              <w:spacing w:after="0"/>
            </w:pPr>
            <w:r>
              <w:rPr>
                <w:sz w:val="16"/>
              </w:rPr>
            </w:r>
            <w:r>
              <w:rPr>
                <w:sz w:val="16"/>
              </w:rPr>
              <w:t>XGBoost (independently tuned, validation-selected)</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0.963241</w:t>
            </w:r>
          </w:p>
        </w:tc>
        <w:tc>
          <w:tcPr>
            <w:tcW w:type="dxa" w:w="1088"/>
          </w:tcPr>
          <w:p>
            <w:pPr>
              <w:spacing w:after="0"/>
            </w:pPr>
            <w:r>
              <w:rPr>
                <w:sz w:val="16"/>
              </w:rPr>
            </w:r>
            <w:r>
              <w:rPr>
                <w:sz w:val="16"/>
              </w:rPr>
              <w:t>0.10375</w:t>
            </w:r>
          </w:p>
        </w:tc>
        <w:tc>
          <w:tcPr>
            <w:tcW w:type="dxa" w:w="1088"/>
          </w:tcPr>
          <w:p>
            <w:pPr>
              <w:spacing w:after="0"/>
            </w:pPr>
            <w:r>
              <w:rPr>
                <w:sz w:val="16"/>
              </w:rPr>
            </w:r>
            <w:r>
              <w:rPr>
                <w:sz w:val="16"/>
              </w:rPr>
              <w:t>0.011468</w:t>
            </w:r>
          </w:p>
        </w:tc>
        <w:tc>
          <w:tcPr>
            <w:tcW w:type="dxa" w:w="1088"/>
          </w:tcPr>
          <w:p>
            <w:pPr>
              <w:spacing w:after="0"/>
            </w:pPr>
            <w:r>
              <w:rPr>
                <w:sz w:val="16"/>
              </w:rPr>
            </w:r>
            <w:r>
              <w:rPr>
                <w:sz w:val="16"/>
              </w:rPr>
              <w:t>0.011126</w:t>
            </w:r>
          </w:p>
        </w:tc>
        <w:tc>
          <w:tcPr>
            <w:tcW w:type="dxa" w:w="1088"/>
          </w:tcPr>
          <w:p>
            <w:pPr>
              <w:spacing w:after="0"/>
            </w:pPr>
            <w:r>
              <w:rPr>
                <w:sz w:val="16"/>
              </w:rPr>
            </w:r>
            <w:r>
              <w:rPr>
                <w:sz w:val="16"/>
              </w:rPr>
              <w:t>0.398</w:t>
            </w:r>
          </w:p>
        </w:tc>
        <w:tc>
          <w:tcPr>
            <w:tcW w:type="dxa" w:w="1088"/>
          </w:tcPr>
          <w:p>
            <w:pPr>
              <w:spacing w:after="0"/>
            </w:pPr>
            <w:r>
              <w:rPr>
                <w:sz w:val="16"/>
              </w:rPr>
            </w:r>
            <w:r>
              <w:rPr>
                <w:sz w:val="16"/>
              </w:rPr>
              <w:t>0.0023</w:t>
            </w:r>
          </w:p>
        </w:tc>
      </w:tr>
    </w:tbl>
    <w:p>
      <w:pPr>
        <w:spacing w:after="40"/>
      </w:pPr>
    </w:p>
    <w:p>
      <w:r>
        <w:t>Five readings follow.</w:t>
      </w:r>
    </w:p>
    <w:p>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with five seeds favouring RCCF and five favouring the equal forest.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pPr>
        <w:jc w:val="center"/>
      </w:pPr>
      <w:r>
        <w:drawing>
          <wp:inline xmlns:a="http://schemas.openxmlformats.org/drawingml/2006/main" xmlns:pic="http://schemas.openxmlformats.org/drawingml/2006/picture">
            <wp:extent cx="5760720" cy="2351418"/>
            <wp:docPr id="4" name="Picture 4"/>
            <wp:cNvGraphicFramePr>
              <a:graphicFrameLocks noChangeAspect="1"/>
            </wp:cNvGraphicFramePr>
            <a:graphic>
              <a:graphicData uri="http://schemas.openxmlformats.org/drawingml/2006/picture">
                <pic:pic>
                  <pic:nvPicPr>
                    <pic:cNvPr id="0" name="fig4_main_results.png"/>
                    <pic:cNvPicPr/>
                  </pic:nvPicPr>
                  <pic:blipFill>
                    <a:blip r:embed="rId12"/>
                    <a:stretch>
                      <a:fillRect/>
                    </a:stretch>
                  </pic:blipFill>
                  <pic:spPr>
                    <a:xfrm>
                      <a:off x="0" y="0"/>
                      <a:ext cx="5760720" cy="2351418"/>
                    </a:xfrm>
                    <a:prstGeom prst="rect"/>
                  </pic:spPr>
                </pic:pic>
              </a:graphicData>
            </a:graphic>
          </wp:inline>
        </w:drawing>
      </w:r>
    </w:p>
    <w:p>
      <w:pPr>
        <w:jc w:val="center"/>
      </w:pPr>
      <w:r>
        <w:rPr>
          <w:i/>
          <w:color w:val="404040"/>
          <w:sz w:val="18"/>
        </w:rPr>
        <w:t>Figure 4. Main results on both populations (ten seeds for the natural-prior panel) and paired bootstrap intervals</w:t>
      </w:r>
    </w:p>
    <w:p>
      <w:r>
        <w:t>Note that the left panel of Figure 4 starts at 0.75 to display differences of one thousandth; the right panel shows that those differences are statistically indistinguishable. The two panels must be read together, not by bar height alone.</w:t>
      </w:r>
    </w:p>
    <w:p>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r>
        <w:rPr>
          <w:b/>
        </w:rPr>
        <w:t>Table 5. Paired statistics on the natural-prior population (ten seeds)</w:t>
      </w:r>
    </w:p>
    <w:tbl>
      <w:tblPr>
        <w:tblStyle w:val="TableGrid"/>
        <w:tblW w:type="auto" w:w="0"/>
        <w:tblLook w:firstColumn="1" w:firstRow="1" w:lastColumn="0" w:lastRow="0" w:noHBand="0" w:noVBand="1" w:val="04A0"/>
      </w:tblPr>
      <w:tblGrid>
        <w:gridCol w:w="890"/>
        <w:gridCol w:w="890"/>
        <w:gridCol w:w="890"/>
        <w:gridCol w:w="890"/>
        <w:gridCol w:w="890"/>
        <w:gridCol w:w="890"/>
        <w:gridCol w:w="890"/>
        <w:gridCol w:w="890"/>
        <w:gridCol w:w="890"/>
        <w:gridCol w:w="890"/>
        <w:gridCol w:w="890"/>
      </w:tblGrid>
      <w:tr>
        <w:tc>
          <w:tcPr>
            <w:tcW w:type="dxa" w:w="890"/>
          </w:tcPr>
          <w:p>
            <w:pPr>
              <w:spacing w:after="0"/>
            </w:pPr>
            <w:r>
              <w:rPr>
                <w:sz w:val="16"/>
              </w:rPr>
            </w:r>
            <w:r>
              <w:rPr>
                <w:b/>
                <w:sz w:val="16"/>
              </w:rPr>
              <w:t>Comparison</w:t>
            </w:r>
          </w:p>
        </w:tc>
        <w:tc>
          <w:tcPr>
            <w:tcW w:type="dxa" w:w="890"/>
          </w:tcPr>
          <w:p>
            <w:pPr>
              <w:spacing w:after="0"/>
            </w:pPr>
            <w:r>
              <w:rPr>
                <w:sz w:val="16"/>
              </w:rPr>
            </w:r>
            <w:r>
              <w:rPr>
                <w:b/>
                <w:sz w:val="16"/>
              </w:rPr>
              <w:t>Mean difference</w:t>
            </w:r>
          </w:p>
        </w:tc>
        <w:tc>
          <w:tcPr>
            <w:tcW w:type="dxa" w:w="890"/>
          </w:tcPr>
          <w:p>
            <w:pPr>
              <w:spacing w:after="0"/>
            </w:pPr>
            <w:r>
              <w:rPr>
                <w:sz w:val="16"/>
              </w:rPr>
            </w:r>
            <w:r>
              <w:rPr>
                <w:b/>
                <w:sz w:val="16"/>
              </w:rPr>
              <w:t>SD</w:t>
            </w:r>
          </w:p>
        </w:tc>
        <w:tc>
          <w:tcPr>
            <w:tcW w:type="dxa" w:w="890"/>
          </w:tcPr>
          <w:p>
            <w:pPr>
              <w:spacing w:after="0"/>
            </w:pPr>
            <w:r>
              <w:rPr>
                <w:sz w:val="16"/>
              </w:rPr>
            </w:r>
            <w:r>
              <w:rPr>
                <w:b/>
                <w:sz w:val="16"/>
              </w:rPr>
              <w:t>Seed-level 95% interval</w:t>
            </w:r>
          </w:p>
        </w:tc>
        <w:tc>
          <w:tcPr>
            <w:tcW w:type="dxa" w:w="890"/>
          </w:tcPr>
          <w:p>
            <w:pPr>
              <w:spacing w:after="0"/>
            </w:pPr>
            <w:r>
              <w:rPr>
                <w:sz w:val="16"/>
              </w:rPr>
            </w:r>
            <w:r>
              <w:rPr>
                <w:b/>
                <w:sz w:val="16"/>
              </w:rPr>
              <w:t>Seed-level 90% interval</w:t>
            </w:r>
          </w:p>
        </w:tc>
        <w:tc>
          <w:tcPr>
            <w:tcW w:type="dxa" w:w="890"/>
          </w:tcPr>
          <w:p>
            <w:pPr>
              <w:spacing w:after="0"/>
            </w:pPr>
            <w:r>
              <w:rPr>
                <w:sz w:val="16"/>
              </w:rPr>
            </w:r>
            <w:r>
              <w:rPr>
                <w:b/>
                <w:sz w:val="16"/>
              </w:rPr>
              <w:t>TOST at 0.005</w:t>
            </w:r>
          </w:p>
        </w:tc>
        <w:tc>
          <w:tcPr>
            <w:tcW w:type="dxa" w:w="890"/>
          </w:tcPr>
          <w:p>
            <w:pPr>
              <w:spacing w:after="0"/>
            </w:pPr>
            <w:r>
              <w:rPr>
                <w:sz w:val="16"/>
              </w:rPr>
            </w:r>
            <w:r>
              <w:rPr>
                <w:b/>
                <w:sz w:val="16"/>
              </w:rPr>
              <w:t>TOST at 0.01</w:t>
            </w:r>
          </w:p>
        </w:tc>
        <w:tc>
          <w:tcPr>
            <w:tcW w:type="dxa" w:w="890"/>
          </w:tcPr>
          <w:p>
            <w:pPr>
              <w:spacing w:after="0"/>
            </w:pPr>
            <w:r>
              <w:rPr>
                <w:sz w:val="16"/>
              </w:rPr>
            </w:r>
            <w:r>
              <w:rPr>
                <w:b/>
                <w:sz w:val="16"/>
              </w:rPr>
              <w:t>Minimum detectable effect (80% power)</w:t>
            </w:r>
          </w:p>
        </w:tc>
        <w:tc>
          <w:tcPr>
            <w:tcW w:type="dxa" w:w="890"/>
          </w:tcPr>
          <w:p>
            <w:pPr>
              <w:spacing w:after="0"/>
            </w:pPr>
            <w:r>
              <w:rPr>
                <w:sz w:val="16"/>
              </w:rPr>
            </w:r>
            <w:r>
              <w:rPr>
                <w:b/>
                <w:sz w:val="16"/>
              </w:rPr>
              <w:t>Cohen's d_z</w:t>
            </w:r>
          </w:p>
        </w:tc>
        <w:tc>
          <w:tcPr>
            <w:tcW w:type="dxa" w:w="890"/>
          </w:tcPr>
          <w:p>
            <w:pPr>
              <w:spacing w:after="0"/>
            </w:pPr>
            <w:r>
              <w:rPr>
                <w:sz w:val="16"/>
              </w:rPr>
            </w:r>
            <w:r>
              <w:rPr>
                <w:b/>
                <w:sz w:val="16"/>
              </w:rPr>
              <w:t>Holm-adjusted sign-flip p</w:t>
            </w:r>
          </w:p>
        </w:tc>
        <w:tc>
          <w:tcPr>
            <w:tcW w:type="dxa" w:w="890"/>
          </w:tcPr>
          <w:p>
            <w:pPr>
              <w:spacing w:after="0"/>
            </w:pPr>
            <w:r>
              <w:rPr>
                <w:sz w:val="16"/>
              </w:rPr>
            </w:r>
            <w:r>
              <w:rPr>
                <w:b/>
                <w:sz w:val="16"/>
              </w:rPr>
              <w:t>Seeds favouring RCCF / baseline</w:t>
            </w:r>
          </w:p>
        </w:tc>
      </w:tr>
      <w:tr>
        <w:tc>
          <w:tcPr>
            <w:tcW w:type="dxa" w:w="890"/>
          </w:tcPr>
          <w:p>
            <w:pPr>
              <w:spacing w:after="0"/>
            </w:pPr>
            <w:r>
              <w:rPr>
                <w:sz w:val="16"/>
              </w:rPr>
            </w:r>
            <w:r>
              <w:rPr>
                <w:sz w:val="16"/>
              </w:rPr>
              <w:t>RCCF - equal RF (chi-square)</w:t>
            </w:r>
          </w:p>
        </w:tc>
        <w:tc>
          <w:tcPr>
            <w:tcW w:type="dxa" w:w="890"/>
          </w:tcPr>
          <w:p>
            <w:pPr>
              <w:spacing w:after="0"/>
            </w:pPr>
            <w:r>
              <w:rPr>
                <w:sz w:val="16"/>
              </w:rPr>
            </w:r>
            <w:r>
              <w:rPr>
                <w:sz w:val="16"/>
              </w:rPr>
              <w:t>-0.000456</w:t>
            </w:r>
          </w:p>
        </w:tc>
        <w:tc>
          <w:tcPr>
            <w:tcW w:type="dxa" w:w="890"/>
          </w:tcPr>
          <w:p>
            <w:pPr>
              <w:spacing w:after="0"/>
            </w:pPr>
            <w:r>
              <w:rPr>
                <w:sz w:val="16"/>
              </w:rPr>
            </w:r>
            <w:r>
              <w:rPr>
                <w:sz w:val="16"/>
              </w:rPr>
              <w:t>0.001152</w:t>
            </w:r>
          </w:p>
        </w:tc>
        <w:tc>
          <w:tcPr>
            <w:tcW w:type="dxa" w:w="890"/>
          </w:tcPr>
          <w:p>
            <w:pPr>
              <w:spacing w:after="0"/>
            </w:pPr>
            <w:r>
              <w:rPr>
                <w:sz w:val="16"/>
              </w:rPr>
            </w:r>
            <w:r>
              <w:rPr>
                <w:sz w:val="16"/>
              </w:rPr>
              <w:t>[-0.001280, +0.000368]</w:t>
            </w:r>
          </w:p>
        </w:tc>
        <w:tc>
          <w:tcPr>
            <w:tcW w:type="dxa" w:w="890"/>
          </w:tcPr>
          <w:p>
            <w:pPr>
              <w:spacing w:after="0"/>
            </w:pPr>
            <w:r>
              <w:rPr>
                <w:sz w:val="16"/>
              </w:rPr>
            </w:r>
            <w:r>
              <w:rPr>
                <w:sz w:val="16"/>
              </w:rPr>
              <w:t>[-0.001124, +0.000212]</w:t>
            </w:r>
          </w:p>
        </w:tc>
        <w:tc>
          <w:tcPr>
            <w:tcW w:type="dxa" w:w="890"/>
          </w:tcPr>
          <w:p>
            <w:pPr>
              <w:spacing w:after="0"/>
            </w:pPr>
            <w:r>
              <w:rPr>
                <w:sz w:val="16"/>
              </w:rPr>
            </w:r>
            <w:r>
              <w:rPr>
                <w:sz w:val="16"/>
              </w:rPr>
              <w:t>equivalent</w:t>
            </w:r>
          </w:p>
        </w:tc>
        <w:tc>
          <w:tcPr>
            <w:tcW w:type="dxa" w:w="890"/>
          </w:tcPr>
          <w:p>
            <w:pPr>
              <w:spacing w:after="0"/>
            </w:pPr>
            <w:r>
              <w:rPr>
                <w:sz w:val="16"/>
              </w:rPr>
            </w:r>
            <w:r>
              <w:rPr>
                <w:sz w:val="16"/>
              </w:rPr>
              <w:t>equivalent</w:t>
            </w:r>
          </w:p>
        </w:tc>
        <w:tc>
          <w:tcPr>
            <w:tcW w:type="dxa" w:w="890"/>
          </w:tcPr>
          <w:p>
            <w:pPr>
              <w:spacing w:after="0"/>
            </w:pPr>
            <w:r>
              <w:rPr>
                <w:sz w:val="16"/>
              </w:rPr>
            </w:r>
            <w:r>
              <w:rPr>
                <w:sz w:val="16"/>
              </w:rPr>
              <w:t>0.001146</w:t>
            </w:r>
          </w:p>
        </w:tc>
        <w:tc>
          <w:tcPr>
            <w:tcW w:type="dxa" w:w="890"/>
          </w:tcPr>
          <w:p>
            <w:pPr>
              <w:spacing w:after="0"/>
            </w:pPr>
            <w:r>
              <w:rPr>
                <w:sz w:val="16"/>
              </w:rPr>
            </w:r>
            <w:r>
              <w:rPr>
                <w:sz w:val="16"/>
              </w:rPr>
              <w:t>-0.40</w:t>
            </w:r>
          </w:p>
        </w:tc>
        <w:tc>
          <w:tcPr>
            <w:tcW w:type="dxa" w:w="890"/>
          </w:tcPr>
          <w:p>
            <w:pPr>
              <w:spacing w:after="0"/>
            </w:pPr>
            <w:r>
              <w:rPr>
                <w:sz w:val="16"/>
              </w:rPr>
            </w:r>
            <w:r>
              <w:rPr>
                <w:sz w:val="16"/>
              </w:rPr>
              <w:t>0.244</w:t>
            </w:r>
          </w:p>
        </w:tc>
        <w:tc>
          <w:tcPr>
            <w:tcW w:type="dxa" w:w="890"/>
          </w:tcPr>
          <w:p>
            <w:pPr>
              <w:spacing w:after="0"/>
            </w:pPr>
            <w:r>
              <w:rPr>
                <w:sz w:val="16"/>
              </w:rPr>
            </w:r>
            <w:r>
              <w:rPr>
                <w:sz w:val="16"/>
              </w:rPr>
              <w:t>5 / 5</w:t>
            </w:r>
          </w:p>
        </w:tc>
      </w:tr>
      <w:tr>
        <w:tc>
          <w:tcPr>
            <w:tcW w:type="dxa" w:w="890"/>
          </w:tcPr>
          <w:p>
            <w:pPr>
              <w:spacing w:after="0"/>
            </w:pPr>
            <w:r>
              <w:rPr>
                <w:sz w:val="16"/>
              </w:rPr>
            </w:r>
            <w:r>
              <w:rPr>
                <w:sz w:val="16"/>
              </w:rPr>
              <w:t>RCCF - equal RF (all features)</w:t>
            </w:r>
          </w:p>
        </w:tc>
        <w:tc>
          <w:tcPr>
            <w:tcW w:type="dxa" w:w="890"/>
          </w:tcPr>
          <w:p>
            <w:pPr>
              <w:spacing w:after="0"/>
            </w:pPr>
            <w:r>
              <w:rPr>
                <w:sz w:val="16"/>
              </w:rPr>
            </w:r>
            <w:r>
              <w:rPr>
                <w:sz w:val="16"/>
              </w:rPr>
              <w:t>+0.001613</w:t>
            </w:r>
          </w:p>
        </w:tc>
        <w:tc>
          <w:tcPr>
            <w:tcW w:type="dxa" w:w="890"/>
          </w:tcPr>
          <w:p>
            <w:pPr>
              <w:spacing w:after="0"/>
            </w:pPr>
            <w:r>
              <w:rPr>
                <w:sz w:val="16"/>
              </w:rPr>
            </w:r>
            <w:r>
              <w:rPr>
                <w:sz w:val="16"/>
              </w:rPr>
              <w:t>0.001376</w:t>
            </w:r>
          </w:p>
        </w:tc>
        <w:tc>
          <w:tcPr>
            <w:tcW w:type="dxa" w:w="890"/>
          </w:tcPr>
          <w:p>
            <w:pPr>
              <w:spacing w:after="0"/>
            </w:pPr>
            <w:r>
              <w:rPr>
                <w:sz w:val="16"/>
              </w:rPr>
            </w:r>
            <w:r>
              <w:rPr>
                <w:sz w:val="16"/>
              </w:rPr>
              <w:t>[+0.000628, +0.002597]</w:t>
            </w:r>
          </w:p>
        </w:tc>
        <w:tc>
          <w:tcPr>
            <w:tcW w:type="dxa" w:w="890"/>
          </w:tcPr>
          <w:p>
            <w:pPr>
              <w:spacing w:after="0"/>
            </w:pPr>
            <w:r>
              <w:rPr>
                <w:sz w:val="16"/>
              </w:rPr>
            </w:r>
            <w:r>
              <w:rPr>
                <w:sz w:val="16"/>
              </w:rPr>
              <w:t>[+0.000815, +0.002410]</w:t>
            </w:r>
          </w:p>
        </w:tc>
        <w:tc>
          <w:tcPr>
            <w:tcW w:type="dxa" w:w="890"/>
          </w:tcPr>
          <w:p>
            <w:pPr>
              <w:spacing w:after="0"/>
            </w:pPr>
            <w:r>
              <w:rPr>
                <w:sz w:val="16"/>
              </w:rPr>
            </w:r>
            <w:r>
              <w:rPr>
                <w:sz w:val="16"/>
              </w:rPr>
              <w:t>equivalent</w:t>
            </w:r>
          </w:p>
        </w:tc>
        <w:tc>
          <w:tcPr>
            <w:tcW w:type="dxa" w:w="890"/>
          </w:tcPr>
          <w:p>
            <w:pPr>
              <w:spacing w:after="0"/>
            </w:pPr>
            <w:r>
              <w:rPr>
                <w:sz w:val="16"/>
              </w:rPr>
            </w:r>
            <w:r>
              <w:rPr>
                <w:sz w:val="16"/>
              </w:rPr>
              <w:t>equivalent</w:t>
            </w:r>
          </w:p>
        </w:tc>
        <w:tc>
          <w:tcPr>
            <w:tcW w:type="dxa" w:w="890"/>
          </w:tcPr>
          <w:p>
            <w:pPr>
              <w:spacing w:after="0"/>
            </w:pPr>
            <w:r>
              <w:rPr>
                <w:sz w:val="16"/>
              </w:rPr>
            </w:r>
            <w:r>
              <w:rPr>
                <w:sz w:val="16"/>
              </w:rPr>
              <w:t>0.001369</w:t>
            </w:r>
          </w:p>
        </w:tc>
        <w:tc>
          <w:tcPr>
            <w:tcW w:type="dxa" w:w="890"/>
          </w:tcPr>
          <w:p>
            <w:pPr>
              <w:spacing w:after="0"/>
            </w:pPr>
            <w:r>
              <w:rPr>
                <w:sz w:val="16"/>
              </w:rPr>
            </w:r>
            <w:r>
              <w:rPr>
                <w:sz w:val="16"/>
              </w:rPr>
              <w:t>+1.17</w:t>
            </w:r>
          </w:p>
        </w:tc>
        <w:tc>
          <w:tcPr>
            <w:tcW w:type="dxa" w:w="890"/>
          </w:tcPr>
          <w:p>
            <w:pPr>
              <w:spacing w:after="0"/>
            </w:pPr>
            <w:r>
              <w:rPr>
                <w:sz w:val="16"/>
              </w:rPr>
            </w:r>
            <w:r>
              <w:rPr>
                <w:b/>
                <w:sz w:val="16"/>
              </w:rPr>
              <w:t>0.020</w:t>
            </w:r>
          </w:p>
        </w:tc>
        <w:tc>
          <w:tcPr>
            <w:tcW w:type="dxa" w:w="890"/>
          </w:tcPr>
          <w:p>
            <w:pPr>
              <w:spacing w:after="0"/>
            </w:pPr>
            <w:r>
              <w:rPr>
                <w:sz w:val="16"/>
              </w:rPr>
            </w:r>
            <w:r>
              <w:rPr>
                <w:sz w:val="16"/>
              </w:rPr>
              <w:t>9 / 1</w:t>
            </w:r>
          </w:p>
        </w:tc>
      </w:tr>
      <w:tr>
        <w:tc>
          <w:tcPr>
            <w:tcW w:type="dxa" w:w="890"/>
          </w:tcPr>
          <w:p>
            <w:pPr>
              <w:spacing w:after="0"/>
            </w:pPr>
            <w:r>
              <w:rPr>
                <w:sz w:val="16"/>
              </w:rPr>
            </w:r>
            <w:r>
              <w:rPr>
                <w:sz w:val="16"/>
              </w:rPr>
              <w:t>RCCF - ExtraTrees (chi-square)</w:t>
            </w:r>
          </w:p>
        </w:tc>
        <w:tc>
          <w:tcPr>
            <w:tcW w:type="dxa" w:w="890"/>
          </w:tcPr>
          <w:p>
            <w:pPr>
              <w:spacing w:after="0"/>
            </w:pPr>
            <w:r>
              <w:rPr>
                <w:sz w:val="16"/>
              </w:rPr>
            </w:r>
            <w:r>
              <w:rPr>
                <w:sz w:val="16"/>
              </w:rPr>
              <w:t>+0.031788</w:t>
            </w:r>
          </w:p>
        </w:tc>
        <w:tc>
          <w:tcPr>
            <w:tcW w:type="dxa" w:w="890"/>
          </w:tcPr>
          <w:p>
            <w:pPr>
              <w:spacing w:after="0"/>
            </w:pPr>
            <w:r>
              <w:rPr>
                <w:sz w:val="16"/>
              </w:rPr>
            </w:r>
            <w:r>
              <w:rPr>
                <w:sz w:val="16"/>
              </w:rPr>
              <w:t>0.001616</w:t>
            </w:r>
          </w:p>
        </w:tc>
        <w:tc>
          <w:tcPr>
            <w:tcW w:type="dxa" w:w="890"/>
          </w:tcPr>
          <w:p>
            <w:pPr>
              <w:spacing w:after="0"/>
            </w:pPr>
            <w:r>
              <w:rPr>
                <w:sz w:val="16"/>
              </w:rPr>
            </w:r>
            <w:r>
              <w:rPr>
                <w:sz w:val="16"/>
              </w:rPr>
              <w:t>[+0.030632, +0.032944]</w:t>
            </w:r>
          </w:p>
        </w:tc>
        <w:tc>
          <w:tcPr>
            <w:tcW w:type="dxa" w:w="890"/>
          </w:tcPr>
          <w:p>
            <w:pPr>
              <w:spacing w:after="0"/>
            </w:pPr>
            <w:r>
              <w:rPr>
                <w:sz w:val="16"/>
              </w:rPr>
            </w:r>
            <w:r>
              <w:rPr>
                <w:sz w:val="16"/>
              </w:rPr>
              <w:t>[+0.030851, +0.032724]</w:t>
            </w:r>
          </w:p>
        </w:tc>
        <w:tc>
          <w:tcPr>
            <w:tcW w:type="dxa" w:w="890"/>
          </w:tcPr>
          <w:p>
            <w:pPr>
              <w:spacing w:after="0"/>
            </w:pPr>
            <w:r>
              <w:rPr>
                <w:sz w:val="16"/>
              </w:rPr>
            </w:r>
            <w:r>
              <w:rPr>
                <w:sz w:val="16"/>
              </w:rPr>
              <w:t>not equivalent</w:t>
            </w:r>
          </w:p>
        </w:tc>
        <w:tc>
          <w:tcPr>
            <w:tcW w:type="dxa" w:w="890"/>
          </w:tcPr>
          <w:p>
            <w:pPr>
              <w:spacing w:after="0"/>
            </w:pPr>
            <w:r>
              <w:rPr>
                <w:sz w:val="16"/>
              </w:rPr>
            </w:r>
            <w:r>
              <w:rPr>
                <w:sz w:val="16"/>
              </w:rPr>
              <w:t>not equivalent</w:t>
            </w:r>
          </w:p>
        </w:tc>
        <w:tc>
          <w:tcPr>
            <w:tcW w:type="dxa" w:w="890"/>
          </w:tcPr>
          <w:p>
            <w:pPr>
              <w:spacing w:after="0"/>
            </w:pPr>
            <w:r>
              <w:rPr>
                <w:sz w:val="16"/>
              </w:rPr>
            </w:r>
            <w:r>
              <w:rPr>
                <w:sz w:val="16"/>
              </w:rPr>
              <w:t>0.001607</w:t>
            </w:r>
          </w:p>
        </w:tc>
        <w:tc>
          <w:tcPr>
            <w:tcW w:type="dxa" w:w="890"/>
          </w:tcPr>
          <w:p>
            <w:pPr>
              <w:spacing w:after="0"/>
            </w:pPr>
            <w:r>
              <w:rPr>
                <w:sz w:val="16"/>
              </w:rPr>
            </w:r>
            <w:r>
              <w:rPr>
                <w:sz w:val="16"/>
              </w:rPr>
              <w:t>+19.68</w:t>
            </w:r>
          </w:p>
        </w:tc>
        <w:tc>
          <w:tcPr>
            <w:tcW w:type="dxa" w:w="890"/>
          </w:tcPr>
          <w:p>
            <w:pPr>
              <w:spacing w:after="0"/>
            </w:pPr>
            <w:r>
              <w:rPr>
                <w:sz w:val="16"/>
              </w:rPr>
            </w:r>
            <w:r>
              <w:rPr>
                <w:b/>
                <w:sz w:val="16"/>
              </w:rPr>
              <w:t>0.006</w:t>
            </w:r>
          </w:p>
        </w:tc>
        <w:tc>
          <w:tcPr>
            <w:tcW w:type="dxa" w:w="890"/>
          </w:tcPr>
          <w:p>
            <w:pPr>
              <w:spacing w:after="0"/>
            </w:pPr>
            <w:r>
              <w:rPr>
                <w:sz w:val="16"/>
              </w:rPr>
            </w:r>
            <w:r>
              <w:rPr>
                <w:sz w:val="16"/>
              </w:rPr>
              <w:t>10 / 0</w:t>
            </w:r>
          </w:p>
        </w:tc>
      </w:tr>
    </w:tbl>
    <w:p>
      <w:pPr>
        <w:spacing w:after="40"/>
      </w:pPr>
    </w:p>
    <w:p>
      <w:r>
        <w:t>The test-row paired bootstrap against the equal-weight chi-square forest gives a pooled 90% interval of [-0.004251, +0.003382] over the same ten seeds, which is also inside both margins.</w:t>
      </w:r>
    </w:p>
    <w:p>
      <w:r>
        <w:t xml:space="preserve">Three entries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the full-feature forest.</w:t>
      </w:r>
      <w:r>
        <w:t xml:space="preserve"> The difference is positive and statistically detectable - the interval excludes zero and nine of ten seeds favour RCCF - yet its magnitude of 0.0016 lies inside the 0.005 equivalence margin: it is real but practically negligible, and Section 5.4 shows it is the same size as a feature-view choice.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against 0.45 s. The most favourable summary of what these costs buy is that Macro-F1 moves within +/- 0.01.</w:t>
      </w:r>
    </w:p>
    <w:p>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essentially the same as RCCF's 0.97792 over the three seeds common to both runs, but only 0.797654 Macro-F1, 0.092 below RCCF. Its balanced accuracy is 0.79666 against 0.94920, and its Brier score is 0.036701 against 0.006312.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r>
        <w:t>Per-seed metrics, per-class reports, normalised confusion matrices and the equivalence tests are provided in Supplementary S05-S07 and S20.</w:t>
      </w:r>
    </w:p>
    <w:p>
      <w:pPr>
        <w:pStyle w:val="Heading2"/>
      </w:pPr>
      <w:r>
        <w:t>5.3 Mechanism diagnostics: why the gate changes nothing, and when it can</w:t>
      </w:r>
    </w:p>
    <w:p>
      <w:r>
        <w:t>The conditions in Section 4.3 make falsifiable predictions. This section tests them with six independent measurements.</w:t>
      </w:r>
    </w:p>
    <w:p>
      <w:pPr>
        <w:jc w:val="center"/>
      </w:pPr>
      <w:r>
        <w:drawing>
          <wp:inline xmlns:a="http://schemas.openxmlformats.org/drawingml/2006/main" xmlns:pic="http://schemas.openxmlformats.org/drawingml/2006/picture">
            <wp:extent cx="5760720" cy="2045294"/>
            <wp:docPr id="5" name="Picture 5"/>
            <wp:cNvGraphicFramePr>
              <a:graphicFrameLocks noChangeAspect="1"/>
            </wp:cNvGraphicFramePr>
            <a:graphic>
              <a:graphicData uri="http://schemas.openxmlformats.org/drawingml/2006/picture">
                <pic:pic>
                  <pic:nvPicPr>
                    <pic:cNvPr id="0" name="fig5_gate_diagnostics.png"/>
                    <pic:cNvPicPr/>
                  </pic:nvPicPr>
                  <pic:blipFill>
                    <a:blip r:embed="rId13"/>
                    <a:stretch>
                      <a:fillRect/>
                    </a:stretch>
                  </pic:blipFill>
                  <pic:spPr>
                    <a:xfrm>
                      <a:off x="0" y="0"/>
                      <a:ext cx="5760720" cy="2045294"/>
                    </a:xfrm>
                    <a:prstGeom prst="rect"/>
                  </pic:spPr>
                </pic:pic>
              </a:graphicData>
            </a:graphic>
          </wp:inline>
        </w:drawing>
      </w:r>
    </w:p>
    <w:p>
      <w:pPr>
        <w:jc w:val="center"/>
      </w:pPr>
      <w:r>
        <w:rPr>
          <w:i/>
          <w:color w:val="404040"/>
          <w:sz w:val="18"/>
        </w:rPr>
        <w:t>Figure 5. Gate diagnostics: weight distribution, weight entropy and expert disagreement</w:t>
      </w:r>
    </w:p>
    <w:p>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r>
        <w:rPr>
          <w:b/>
        </w:rPr>
        <w:t>Measurement 2: do the probabilities change materially?</w:t>
      </w:r>
      <w:r>
        <w:t xml:space="preserve"> The mean L1 change of the fused probability before and after weighting is 0.000299 and the maximum is 0.003473. The weights do move probability mass, but by very little.</w:t>
      </w:r>
    </w:p>
    <w:p>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pPr>
        <w:jc w:val="center"/>
      </w:pPr>
      <w:r>
        <w:drawing>
          <wp:inline xmlns:a="http://schemas.openxmlformats.org/drawingml/2006/main" xmlns:pic="http://schemas.openxmlformats.org/drawingml/2006/picture">
            <wp:extent cx="5760720" cy="2308234"/>
            <wp:docPr id="6" name="Picture 6"/>
            <wp:cNvGraphicFramePr>
              <a:graphicFrameLocks noChangeAspect="1"/>
            </wp:cNvGraphicFramePr>
            <a:graphic>
              <a:graphicData uri="http://schemas.openxmlformats.org/drawingml/2006/picture">
                <pic:pic>
                  <pic:nvPicPr>
                    <pic:cNvPr id="0" name="fig6_margin_bound.png"/>
                    <pic:cNvPicPr/>
                  </pic:nvPicPr>
                  <pic:blipFill>
                    <a:blip r:embed="rId14"/>
                    <a:stretch>
                      <a:fillRect/>
                    </a:stretch>
                  </pic:blipFill>
                  <pic:spPr>
                    <a:xfrm>
                      <a:off x="0" y="0"/>
                      <a:ext cx="5760720" cy="2308234"/>
                    </a:xfrm>
                    <a:prstGeom prst="rect"/>
                  </pic:spPr>
                </pic:pic>
              </a:graphicData>
            </a:graphic>
          </wp:inline>
        </w:drawing>
      </w:r>
    </w:p>
    <w:p>
      <w:pPr>
        <w:jc w:val="center"/>
      </w:pPr>
      <w:r>
        <w:rPr>
          <w:i/>
          <w:color w:val="404040"/>
          <w:sz w:val="18"/>
        </w:rPr>
        <w:t>Figure 6. Distribution of decision margins and perturbation bounds, and the provable invariance rate under Condition 2</w:t>
      </w:r>
    </w:p>
    <w:p>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across three, five and ten folds), but the difference is noted for completeness.</w:t>
      </w:r>
    </w:p>
    <w:p>
      <w:r>
        <w:rPr>
          <w:b/>
        </w:rPr>
        <w:t>Table 6. Expert diversity, weight structure and gate gain (mean of three seeds)</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Expert set</w:t>
            </w:r>
          </w:p>
        </w:tc>
        <w:tc>
          <w:tcPr>
            <w:tcW w:type="dxa" w:w="1632"/>
          </w:tcPr>
          <w:p>
            <w:pPr>
              <w:spacing w:after="0"/>
            </w:pPr>
            <w:r>
              <w:rPr>
                <w:sz w:val="16"/>
              </w:rPr>
            </w:r>
            <w:r>
              <w:rPr>
                <w:b/>
                <w:sz w:val="16"/>
              </w:rPr>
              <w:t>Pairwise disagreement</w:t>
            </w:r>
          </w:p>
        </w:tc>
        <w:tc>
          <w:tcPr>
            <w:tcW w:type="dxa" w:w="1632"/>
          </w:tcPr>
          <w:p>
            <w:pPr>
              <w:spacing w:after="0"/>
            </w:pPr>
            <w:r>
              <w:rPr>
                <w:sz w:val="16"/>
              </w:rPr>
            </w:r>
            <w:r>
              <w:rPr>
                <w:b/>
                <w:sz w:val="16"/>
              </w:rPr>
              <w:t>Mean confidence correlation</w:t>
            </w:r>
          </w:p>
        </w:tc>
        <w:tc>
          <w:tcPr>
            <w:tcW w:type="dxa" w:w="1632"/>
          </w:tcPr>
          <w:p>
            <w:pPr>
              <w:spacing w:after="0"/>
            </w:pPr>
            <w:r>
              <w:rPr>
                <w:sz w:val="16"/>
              </w:rPr>
            </w:r>
            <w:r>
              <w:rPr>
                <w:b/>
                <w:sz w:val="16"/>
              </w:rPr>
              <w:t>Normalised weight entropy</w:t>
            </w:r>
          </w:p>
        </w:tc>
        <w:tc>
          <w:tcPr>
            <w:tcW w:type="dxa" w:w="1632"/>
          </w:tcPr>
          <w:p>
            <w:pPr>
              <w:spacing w:after="0"/>
            </w:pPr>
            <w:r>
              <w:rPr>
                <w:sz w:val="16"/>
              </w:rPr>
            </w:r>
            <w:r>
              <w:rPr>
                <w:b/>
                <w:sz w:val="16"/>
              </w:rPr>
              <w:t>Gate gain (Macro-F1)</w:t>
            </w:r>
          </w:p>
        </w:tc>
        <w:tc>
          <w:tcPr>
            <w:tcW w:type="dxa" w:w="1632"/>
          </w:tcPr>
          <w:p>
            <w:pPr>
              <w:spacing w:after="0"/>
            </w:pPr>
            <w:r>
              <w:rPr>
                <w:sz w:val="16"/>
              </w:rPr>
            </w:r>
            <w:r>
              <w:rPr>
                <w:b/>
                <w:sz w:val="16"/>
              </w:rPr>
              <w:t>Rows changed</w:t>
            </w:r>
          </w:p>
        </w:tc>
      </w:tr>
      <w:tr>
        <w:tc>
          <w:tcPr>
            <w:tcW w:type="dxa" w:w="1632"/>
          </w:tcPr>
          <w:p>
            <w:pPr>
              <w:spacing w:after="0"/>
            </w:pPr>
            <w:r>
              <w:rPr>
                <w:sz w:val="16"/>
              </w:rPr>
            </w:r>
            <w:r>
              <w:rPr>
                <w:sz w:val="16"/>
              </w:rPr>
              <w:t>Same view, different seeds</w:t>
            </w:r>
          </w:p>
        </w:tc>
        <w:tc>
          <w:tcPr>
            <w:tcW w:type="dxa" w:w="1632"/>
          </w:tcPr>
          <w:p>
            <w:pPr>
              <w:spacing w:after="0"/>
            </w:pPr>
            <w:r>
              <w:rPr>
                <w:sz w:val="16"/>
              </w:rPr>
            </w:r>
            <w:r>
              <w:rPr>
                <w:sz w:val="16"/>
              </w:rPr>
              <w:t>0.20%</w:t>
            </w:r>
          </w:p>
        </w:tc>
        <w:tc>
          <w:tcPr>
            <w:tcW w:type="dxa" w:w="1632"/>
          </w:tcPr>
          <w:p>
            <w:pPr>
              <w:spacing w:after="0"/>
            </w:pPr>
            <w:r>
              <w:rPr>
                <w:sz w:val="16"/>
              </w:rPr>
            </w:r>
            <w:r>
              <w:rPr>
                <w:sz w:val="16"/>
              </w:rPr>
              <w:t>0.978</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Four views, k = 60</w:t>
            </w:r>
          </w:p>
        </w:tc>
        <w:tc>
          <w:tcPr>
            <w:tcW w:type="dxa" w:w="1632"/>
          </w:tcPr>
          <w:p>
            <w:pPr>
              <w:spacing w:after="0"/>
            </w:pPr>
            <w:r>
              <w:rPr>
                <w:sz w:val="16"/>
              </w:rPr>
            </w:r>
            <w:r>
              <w:rPr>
                <w:sz w:val="16"/>
              </w:rPr>
              <w:t>0.36%</w:t>
            </w:r>
          </w:p>
        </w:tc>
        <w:tc>
          <w:tcPr>
            <w:tcW w:type="dxa" w:w="1632"/>
          </w:tcPr>
          <w:p>
            <w:pPr>
              <w:spacing w:after="0"/>
            </w:pPr>
            <w:r>
              <w:rPr>
                <w:sz w:val="16"/>
              </w:rPr>
            </w:r>
            <w:r>
              <w:rPr>
                <w:sz w:val="16"/>
              </w:rPr>
              <w:t>0.967</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Four views, k = 20</w:t>
            </w:r>
          </w:p>
        </w:tc>
        <w:tc>
          <w:tcPr>
            <w:tcW w:type="dxa" w:w="1632"/>
          </w:tcPr>
          <w:p>
            <w:pPr>
              <w:spacing w:after="0"/>
            </w:pPr>
            <w:r>
              <w:rPr>
                <w:sz w:val="16"/>
              </w:rPr>
            </w:r>
            <w:r>
              <w:rPr>
                <w:sz w:val="16"/>
              </w:rPr>
              <w:t>1.76%</w:t>
            </w:r>
          </w:p>
        </w:tc>
        <w:tc>
          <w:tcPr>
            <w:tcW w:type="dxa" w:w="1632"/>
          </w:tcPr>
          <w:p>
            <w:pPr>
              <w:spacing w:after="0"/>
            </w:pPr>
            <w:r>
              <w:rPr>
                <w:sz w:val="16"/>
              </w:rPr>
            </w:r>
            <w:r>
              <w:rPr>
                <w:sz w:val="16"/>
              </w:rPr>
              <w:t>0.791</w:t>
            </w:r>
          </w:p>
        </w:tc>
        <w:tc>
          <w:tcPr>
            <w:tcW w:type="dxa" w:w="1632"/>
          </w:tcPr>
          <w:p>
            <w:pPr>
              <w:spacing w:after="0"/>
            </w:pPr>
            <w:r>
              <w:rPr>
                <w:sz w:val="16"/>
              </w:rPr>
            </w:r>
            <w:r>
              <w:rPr>
                <w:sz w:val="16"/>
              </w:rPr>
              <w:t>0.99905</w:t>
            </w:r>
          </w:p>
        </w:tc>
        <w:tc>
          <w:tcPr>
            <w:tcW w:type="dxa" w:w="1632"/>
          </w:tcPr>
          <w:p>
            <w:pPr>
              <w:spacing w:after="0"/>
            </w:pPr>
            <w:r>
              <w:rPr>
                <w:sz w:val="16"/>
              </w:rPr>
            </w:r>
            <w:r>
              <w:rPr>
                <w:sz w:val="16"/>
              </w:rPr>
              <w:t>+0.00271</w:t>
            </w:r>
          </w:p>
        </w:tc>
        <w:tc>
          <w:tcPr>
            <w:tcW w:type="dxa" w:w="1632"/>
          </w:tcPr>
          <w:p>
            <w:pPr>
              <w:spacing w:after="0"/>
            </w:pPr>
            <w:r>
              <w:rPr>
                <w:sz w:val="16"/>
              </w:rPr>
            </w:r>
            <w:r>
              <w:rPr>
                <w:sz w:val="16"/>
              </w:rPr>
              <w:t>9.3</w:t>
            </w:r>
          </w:p>
        </w:tc>
      </w:tr>
      <w:tr>
        <w:tc>
          <w:tcPr>
            <w:tcW w:type="dxa" w:w="1632"/>
          </w:tcPr>
          <w:p>
            <w:pPr>
              <w:spacing w:after="0"/>
            </w:pPr>
            <w:r>
              <w:rPr>
                <w:sz w:val="16"/>
              </w:rPr>
            </w:r>
            <w:r>
              <w:rPr>
                <w:sz w:val="16"/>
              </w:rPr>
              <w:t>Heterogeneous families (RF / ExtraTrees / XGBoost / kNN)</w:t>
            </w:r>
          </w:p>
        </w:tc>
        <w:tc>
          <w:tcPr>
            <w:tcW w:type="dxa" w:w="1632"/>
          </w:tcPr>
          <w:p>
            <w:pPr>
              <w:spacing w:after="0"/>
            </w:pPr>
            <w:r>
              <w:rPr>
                <w:sz w:val="16"/>
              </w:rPr>
            </w:r>
            <w:r>
              <w:rPr>
                <w:sz w:val="16"/>
              </w:rPr>
              <w:t>2.81%</w:t>
            </w:r>
          </w:p>
        </w:tc>
        <w:tc>
          <w:tcPr>
            <w:tcW w:type="dxa" w:w="1632"/>
          </w:tcPr>
          <w:p>
            <w:pPr>
              <w:spacing w:after="0"/>
            </w:pPr>
            <w:r>
              <w:rPr>
                <w:sz w:val="16"/>
              </w:rPr>
            </w:r>
            <w:r>
              <w:rPr>
                <w:sz w:val="16"/>
              </w:rPr>
              <w:t>0.493</w:t>
            </w:r>
          </w:p>
        </w:tc>
        <w:tc>
          <w:tcPr>
            <w:tcW w:type="dxa" w:w="1632"/>
          </w:tcPr>
          <w:p>
            <w:pPr>
              <w:spacing w:after="0"/>
            </w:pPr>
            <w:r>
              <w:rPr>
                <w:sz w:val="16"/>
              </w:rPr>
            </w:r>
            <w:r>
              <w:rPr>
                <w:sz w:val="16"/>
              </w:rPr>
              <w:t>0.99842</w:t>
            </w:r>
          </w:p>
        </w:tc>
        <w:tc>
          <w:tcPr>
            <w:tcW w:type="dxa" w:w="1632"/>
          </w:tcPr>
          <w:p>
            <w:pPr>
              <w:spacing w:after="0"/>
            </w:pPr>
            <w:r>
              <w:rPr>
                <w:sz w:val="16"/>
              </w:rPr>
            </w:r>
            <w:r>
              <w:rPr>
                <w:sz w:val="16"/>
              </w:rPr>
              <w:t>+0.00332</w:t>
            </w:r>
          </w:p>
        </w:tc>
        <w:tc>
          <w:tcPr>
            <w:tcW w:type="dxa" w:w="1632"/>
          </w:tcPr>
          <w:p>
            <w:pPr>
              <w:spacing w:after="0"/>
            </w:pPr>
            <w:r>
              <w:rPr>
                <w:sz w:val="16"/>
              </w:rPr>
            </w:r>
            <w:r>
              <w:rPr>
                <w:sz w:val="16"/>
              </w:rPr>
              <w:t>11.7</w:t>
            </w:r>
          </w:p>
        </w:tc>
      </w:tr>
      <w:tr>
        <w:tc>
          <w:tcPr>
            <w:tcW w:type="dxa" w:w="1632"/>
          </w:tcPr>
          <w:p>
            <w:pPr>
              <w:spacing w:after="0"/>
            </w:pPr>
            <w:r>
              <w:rPr>
                <w:sz w:val="16"/>
              </w:rPr>
            </w:r>
            <w:r>
              <w:rPr>
                <w:sz w:val="16"/>
              </w:rPr>
              <w:t>Disjoint feature blocks</w:t>
            </w:r>
          </w:p>
        </w:tc>
        <w:tc>
          <w:tcPr>
            <w:tcW w:type="dxa" w:w="1632"/>
          </w:tcPr>
          <w:p>
            <w:pPr>
              <w:spacing w:after="0"/>
            </w:pPr>
            <w:r>
              <w:rPr>
                <w:sz w:val="16"/>
              </w:rPr>
            </w:r>
            <w:r>
              <w:rPr>
                <w:sz w:val="16"/>
              </w:rPr>
              <w:t>6.44%</w:t>
            </w:r>
          </w:p>
        </w:tc>
        <w:tc>
          <w:tcPr>
            <w:tcW w:type="dxa" w:w="1632"/>
          </w:tcPr>
          <w:p>
            <w:pPr>
              <w:spacing w:after="0"/>
            </w:pPr>
            <w:r>
              <w:rPr>
                <w:sz w:val="16"/>
              </w:rPr>
            </w:r>
            <w:r>
              <w:rPr>
                <w:sz w:val="16"/>
              </w:rPr>
              <w:t>0.506</w:t>
            </w:r>
          </w:p>
        </w:tc>
        <w:tc>
          <w:tcPr>
            <w:tcW w:type="dxa" w:w="1632"/>
          </w:tcPr>
          <w:p>
            <w:pPr>
              <w:spacing w:after="0"/>
            </w:pPr>
            <w:r>
              <w:rPr>
                <w:sz w:val="16"/>
              </w:rPr>
            </w:r>
            <w:r>
              <w:rPr>
                <w:sz w:val="16"/>
              </w:rPr>
              <w:t>0.99548</w:t>
            </w:r>
          </w:p>
        </w:tc>
        <w:tc>
          <w:tcPr>
            <w:tcW w:type="dxa" w:w="1632"/>
          </w:tcPr>
          <w:p>
            <w:pPr>
              <w:spacing w:after="0"/>
            </w:pPr>
            <w:r>
              <w:rPr>
                <w:sz w:val="16"/>
              </w:rPr>
            </w:r>
            <w:r>
              <w:rPr>
                <w:sz w:val="16"/>
              </w:rPr>
              <w:t>+0.00401</w:t>
            </w:r>
          </w:p>
        </w:tc>
        <w:tc>
          <w:tcPr>
            <w:tcW w:type="dxa" w:w="1632"/>
          </w:tcPr>
          <w:p>
            <w:pPr>
              <w:spacing w:after="0"/>
            </w:pPr>
            <w:r>
              <w:rPr>
                <w:sz w:val="16"/>
              </w:rPr>
            </w:r>
            <w:r>
              <w:rPr>
                <w:sz w:val="16"/>
              </w:rPr>
              <w:t>33.7</w:t>
            </w:r>
          </w:p>
        </w:tc>
      </w:tr>
    </w:tbl>
    <w:p>
      <w:pPr>
        <w:spacing w:after="40"/>
      </w:pPr>
    </w:p>
    <w:p>
      <w:pPr>
        <w:jc w:val="center"/>
      </w:pPr>
      <w:r>
        <w:drawing>
          <wp:inline xmlns:a="http://schemas.openxmlformats.org/drawingml/2006/main" xmlns:pic="http://schemas.openxmlformats.org/drawingml/2006/picture">
            <wp:extent cx="5760720" cy="2167923"/>
            <wp:docPr id="7" name="Picture 7"/>
            <wp:cNvGraphicFramePr>
              <a:graphicFrameLocks noChangeAspect="1"/>
            </wp:cNvGraphicFramePr>
            <a:graphic>
              <a:graphicData uri="http://schemas.openxmlformats.org/drawingml/2006/picture">
                <pic:pic>
                  <pic:nvPicPr>
                    <pic:cNvPr id="0" name="fig7_diversity_dose_response.png"/>
                    <pic:cNvPicPr/>
                  </pic:nvPicPr>
                  <pic:blipFill>
                    <a:blip r:embed="rId15"/>
                    <a:stretch>
                      <a:fillRect/>
                    </a:stretch>
                  </pic:blipFill>
                  <pic:spPr>
                    <a:xfrm>
                      <a:off x="0" y="0"/>
                      <a:ext cx="5760720" cy="2167923"/>
                    </a:xfrm>
                    <a:prstGeom prst="rect"/>
                  </pic:spPr>
                </pic:pic>
              </a:graphicData>
            </a:graphic>
          </wp:inline>
        </w:drawing>
      </w:r>
    </w:p>
    <w:p>
      <w:pPr>
        <w:jc w:val="center"/>
      </w:pPr>
      <w:r>
        <w:rPr>
          <w:i/>
          <w:color w:val="404040"/>
          <w:sz w:val="18"/>
        </w:rPr>
        <w:t>Figure 7. Dose-response between expert diversity and gate gain</w:t>
      </w:r>
    </w:p>
    <w:p>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r>
        <w:t>The gate search, the row-wise weight records and the expert-diversity suite are provided in Supplementary S08-S09, S16 and S18.</w:t>
      </w:r>
    </w:p>
    <w:p>
      <w:pPr>
        <w:pStyle w:val="Heading2"/>
      </w:pPr>
      <w:r>
        <w:t>5.4 RQ3: Protocol effects exceed aggregation-rule differences by an order of magnitude</w:t>
      </w:r>
    </w:p>
    <w:p>
      <w:r>
        <w:t>This section places four sources of protocol variation side by side (Figure 8).</w:t>
      </w:r>
    </w:p>
    <w:p>
      <w:pPr>
        <w:jc w:val="center"/>
      </w:pPr>
      <w:r>
        <w:drawing>
          <wp:inline xmlns:a="http://schemas.openxmlformats.org/drawingml/2006/main" xmlns:pic="http://schemas.openxmlformats.org/drawingml/2006/picture">
            <wp:extent cx="5760720" cy="2258878"/>
            <wp:docPr id="8" name="Picture 8"/>
            <wp:cNvGraphicFramePr>
              <a:graphicFrameLocks noChangeAspect="1"/>
            </wp:cNvGraphicFramePr>
            <a:graphic>
              <a:graphicData uri="http://schemas.openxmlformats.org/drawingml/2006/picture">
                <pic:pic>
                  <pic:nvPicPr>
                    <pic:cNvPr id="0" name="fig8_protocol_sensitivity.png"/>
                    <pic:cNvPicPr/>
                  </pic:nvPicPr>
                  <pic:blipFill>
                    <a:blip r:embed="rId16"/>
                    <a:stretch>
                      <a:fillRect/>
                    </a:stretch>
                  </pic:blipFill>
                  <pic:spPr>
                    <a:xfrm>
                      <a:off x="0" y="0"/>
                      <a:ext cx="5760720" cy="2258878"/>
                    </a:xfrm>
                    <a:prstGeom prst="rect"/>
                  </pic:spPr>
                </pic:pic>
              </a:graphicData>
            </a:graphic>
          </wp:inline>
        </w:drawing>
      </w:r>
    </w:p>
    <w:p>
      <w:pPr>
        <w:jc w:val="center"/>
      </w:pPr>
      <w:r>
        <w:rPr>
          <w:i/>
          <w:color w:val="404040"/>
          <w:sz w:val="18"/>
        </w:rPr>
        <w:t>Figure 8. Protocol sensitivity: deduplication order, class priors and repeated splits</w:t>
      </w:r>
    </w:p>
    <w:p>
      <w:r>
        <w:rPr>
          <w:b/>
        </w:rPr>
        <w:t>(1) Deduplication order.</w:t>
      </w:r>
      <w:r>
        <w:t xml:space="preserve"> Replacing "deduplicate the whole corpus before splitting" with "split first, deduplicate on the training side only" gives Macro-F1 values of 0.958503, 0.950446 and 0.962318 across the three seeds, against 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*families*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r>
        <w:t>The protocol-sensitivity runs and the nested cross-validation fold metrics are provided in Supplementary S10-S11.</w:t>
      </w:r>
    </w:p>
    <w:p>
      <w:pPr>
        <w:pStyle w:val="Heading2"/>
      </w:pPr>
      <w:r>
        <w:t>5.5 RQ4: External validity and file-level extrapolation</w:t>
      </w:r>
    </w:p>
    <w:p>
      <w:pPr>
        <w:jc w:val="center"/>
      </w:pPr>
      <w:r>
        <w:drawing>
          <wp:inline xmlns:a="http://schemas.openxmlformats.org/drawingml/2006/main" xmlns:pic="http://schemas.openxmlformats.org/drawingml/2006/picture">
            <wp:extent cx="5760720" cy="2516852"/>
            <wp:docPr id="9" name="Picture 9"/>
            <wp:cNvGraphicFramePr>
              <a:graphicFrameLocks noChangeAspect="1"/>
            </wp:cNvGraphicFramePr>
            <a:graphic>
              <a:graphicData uri="http://schemas.openxmlformats.org/drawingml/2006/picture">
                <pic:pic>
                  <pic:nvPicPr>
                    <pic:cNvPr id="0" name="fig9_external_class_f1.png"/>
                    <pic:cNvPicPr/>
                  </pic:nvPicPr>
                  <pic:blipFill>
                    <a:blip r:embed="rId17"/>
                    <a:stretch>
                      <a:fillRect/>
                    </a:stretch>
                  </pic:blipFill>
                  <pic:spPr>
                    <a:xfrm>
                      <a:off x="0" y="0"/>
                      <a:ext cx="5760720" cy="2516852"/>
                    </a:xfrm>
                    <a:prstGeom prst="rect"/>
                  </pic:spPr>
                </pic:pic>
              </a:graphicData>
            </a:graphic>
          </wp:inline>
        </w:drawing>
      </w:r>
    </w:p>
    <w:p>
      <w:pPr>
        <w:jc w:val="center"/>
      </w:pPr>
      <w:r>
        <w:rPr>
          <w:i/>
          <w:color w:val="404040"/>
          <w:sz w:val="18"/>
        </w:rPr>
        <w:t>Figure 9. Class-level F1 on the independent native-label benchmarks</w:t>
      </w:r>
    </w:p>
    <w:p>
      <w:r>
        <w:rPr>
          <w:b/>
        </w:rPr>
        <w:t>NSL-KDD.</w:t>
      </w:r>
      <w:r>
        <w:t xml:space="preserve"> Averaged over three seeds, RCCF reaches 0.747960 accuracy, 0.492837 balanced accuracy and 0.514697 Macro-F1, with a Log Loss of 1.6802, ECE of 0.4819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r>
        <w:t>The external benchmarks, the file-level extrapolation and the neural baseline comparison are provided in Supplementary S12-S14 and S19.</w:t>
      </w:r>
    </w:p>
    <w:p>
      <w:pPr>
        <w:pStyle w:val="Heading2"/>
      </w:pPr>
      <w:r>
        <w:t>5.6 Secondary metrics: calibration, robustness, latency and open-set behaviour</w:t>
      </w:r>
    </w:p>
    <w:p>
      <w:pPr>
        <w:jc w:val="center"/>
      </w:pPr>
      <w:r>
        <w:drawing>
          <wp:inline xmlns:a="http://schemas.openxmlformats.org/drawingml/2006/main" xmlns:pic="http://schemas.openxmlformats.org/drawingml/2006/picture">
            <wp:extent cx="5760720" cy="2223311"/>
            <wp:docPr id="10" name="Picture 10"/>
            <wp:cNvGraphicFramePr>
              <a:graphicFrameLocks noChangeAspect="1"/>
            </wp:cNvGraphicFramePr>
            <a:graphic>
              <a:graphicData uri="http://schemas.openxmlformats.org/drawingml/2006/picture">
                <pic:pic>
                  <pic:nvPicPr>
                    <pic:cNvPr id="0" name="fig10_calibration_robustness.png"/>
                    <pic:cNvPicPr/>
                  </pic:nvPicPr>
                  <pic:blipFill>
                    <a:blip r:embed="rId18"/>
                    <a:stretch>
                      <a:fillRect/>
                    </a:stretch>
                  </pic:blipFill>
                  <pic:spPr>
                    <a:xfrm>
                      <a:off x="0" y="0"/>
                      <a:ext cx="5760720" cy="2223311"/>
                    </a:xfrm>
                    <a:prstGeom prst="rect"/>
                  </pic:spPr>
                </pic:pic>
              </a:graphicData>
            </a:graphic>
          </wp:inline>
        </w:drawing>
      </w:r>
    </w:p>
    <w:p>
      <w:pPr>
        <w:jc w:val="center"/>
      </w:pPr>
      <w:r>
        <w:rPr>
          <w:i/>
          <w:color w:val="404040"/>
          <w:sz w:val="18"/>
        </w:rPr>
        <w:t>Figure 10. Probability calibration and robustness under shared perturbations</w:t>
      </w:r>
    </w:p>
    <w:p>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0.0119 on the balanced control protocol, while the equal forest's temperature parameter is optimised to 1.0 and its calibration metrics are unchanged. The conclusion is that identical hard labels do not imply identical probability quality, and that the direction of improvement depends on which probabilistic metric is chosen - so no single favourable metric should be reported alone.</w:t>
      </w:r>
    </w:p>
    <w:p>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10b). The correct reading is not that the conditional gate improves robustness - it does not - but that a different baseline family does, and that this difference exceeds any difference the gate produces between the two forest variants.</w:t>
      </w:r>
    </w:p>
    <w:p>
      <w:pPr>
        <w:jc w:val="center"/>
      </w:pPr>
      <w:r>
        <w:drawing>
          <wp:inline xmlns:a="http://schemas.openxmlformats.org/drawingml/2006/main" xmlns:pic="http://schemas.openxmlformats.org/drawingml/2006/picture">
            <wp:extent cx="5760720" cy="2538527"/>
            <wp:docPr id="11" name="Picture 11"/>
            <wp:cNvGraphicFramePr>
              <a:graphicFrameLocks noChangeAspect="1"/>
            </wp:cNvGraphicFramePr>
            <a:graphic>
              <a:graphicData uri="http://schemas.openxmlformats.org/drawingml/2006/picture">
                <pic:pic>
                  <pic:nvPicPr>
                    <pic:cNvPr id="0" name="fig11_latency.png"/>
                    <pic:cNvPicPr/>
                  </pic:nvPicPr>
                  <pic:blipFill>
                    <a:blip r:embed="rId19"/>
                    <a:stretch>
                      <a:fillRect/>
                    </a:stretch>
                  </pic:blipFill>
                  <pic:spPr>
                    <a:xfrm>
                      <a:off x="0" y="0"/>
                      <a:ext cx="5760720" cy="2538527"/>
                    </a:xfrm>
                    <a:prstGeom prst="rect"/>
                  </pic:spPr>
                </pic:pic>
              </a:graphicData>
            </a:graphic>
          </wp:inline>
        </w:drawing>
      </w:r>
    </w:p>
    <w:p>
      <w:pPr>
        <w:jc w:val="center"/>
      </w:pPr>
      <w:r>
        <w:rPr>
          <w:i/>
          <w:color w:val="404040"/>
          <w:sz w:val="18"/>
        </w:rPr>
        <w:t>Figure 11. Single-row inference latency</w:t>
      </w:r>
    </w:p>
    <w:p>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r>
        <w:rPr>
          <w:b/>
        </w:rPr>
        <w:t>Resource footprint.</w:t>
      </w:r>
      <w:r>
        <w:t xml:space="preserve"> Model size and throughput separate the two designs more sharply than wall-clock time. The conditional mechanism stores four forests and occupies 9.09 MB when serialised, against 2.21 MB for the single 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and indicative only.</w:t>
      </w:r>
    </w:p>
    <w:p>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(0.06180 at ratio 100). The conditional gate therefore offers no cost-sensitive advantage either. Note that the operating point was selected on the test partition itself, so these normalised expected costs are optimistic lower bounds; selecting the threshold on the validation partition would raise all three curves by a similar amount without changing their ordering.</w:t>
      </w:r>
    </w:p>
    <w:p>
      <w:r>
        <w:rPr>
          <w:b/>
        </w:rPr>
        <w:t>Open-set behaviour.</w:t>
      </w:r>
      <w:r>
        <w:t xml:space="preserve"> With PortScan, Infiltration and Heartbleed held out as unknown families, the conditional branch reaches an area under the ROC curve (AUROC) of 0.643 to 0.694 with an unknown-class recall of 0.0015 to 0.0088, whereas the equal-weight forest reaches an AUROC of 0.919 to 0.940 with a recall of 0.057 to 0.128.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r>
        <w:t>Calibration, robustness, latency, resource, cost-sensitive and near-duplicate results are provided in Supplementary S15 and S21-S23, S26.</w:t>
      </w:r>
    </w:p>
    <w:p>
      <w:pPr>
        <w:pStyle w:val="Heading1"/>
      </w:pPr>
      <w:r>
        <w:t>6. Discussion</w:t>
      </w:r>
    </w:p>
    <w:p>
      <w:pPr>
        <w:pStyle w:val="Heading2"/>
      </w:pPr>
      <w:r>
        <w:t>6.1 Three failure conditions for conditional weighting</w:t>
      </w:r>
    </w:p>
    <w:p>
      <w:r>
        <w:t>The conditions of Section 4.3 and the measurements of Section 5.3 together characterise three failure modes. They are not mutually exclusive but form a hierarchy from strongest to weakest.</w:t>
      </w:r>
    </w:p>
    <w:p>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disagreement rises to 3%-6% does the gain become consistently positive. Condition A is therefore not the idealised case of "identical experts" but a loose condition that real flow-feature data satisfies easily.</w:t>
      </w:r>
    </w:p>
    <w:p>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r>
        <w:t xml:space="preserve">The three conditions yield an operational diagnostic sequence: </w:t>
      </w:r>
      <w:r>
        <w:rPr>
          <w:b/>
        </w:rPr>
        <w:t>first measure the weight entropy, then the prediction-disagreement rate, and only then look at the performance difference.</w:t>
      </w:r>
      <w:r>
        <w:t xml:space="preserve"> If entropy is close to 1 and the disagreement count is 0, further tuning of the gate will not help, because the problem does not lie in the gate.</w:t>
      </w:r>
    </w:p>
    <w:p>
      <w:pPr>
        <w:pStyle w:val="Heading2"/>
      </w:pPr>
      <w:r>
        <w:t>6.2 Interpreting reported weighting gains</w:t>
      </w:r>
    </w:p>
    <w:p>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four competing explanations [18-20], each of which has a measured magnitude in this study.</w:t>
      </w:r>
    </w:p>
    <w:p>
      <w:pPr>
        <w:pStyle w:val="ListNumber"/>
      </w:pPr>
      <w:r>
        <w:rPr>
          <w:b/>
        </w:rPr>
        <w:t>Split noise.</w:t>
      </w:r>
      <w:r>
        <w:t xml:space="preserve"> The split-to-split standard deviation over ten repetitions is about 0.011. That is larger than every aggregation-rule and tuning-budget difference observed here (at most 0.0078), though not larger than the model-family gaps of 0.0318 and 0.0916.</w:t>
      </w:r>
    </w:p>
    <w:p>
      <w:pPr>
        <w:pStyle w:val="ListNumber"/>
      </w:pPr>
      <w:r>
        <w:rPr>
          <w:b/>
        </w:rPr>
        <w:t>Protocol choice.</w:t>
      </w:r>
      <w:r>
        <w:t xml:space="preserve"> Changing the class prior from balanced to natural moves Macro-F1 by +0.0725, and reversing the deduplication order moves it by up to +0.0060.</w:t>
      </w:r>
    </w:p>
    <w:p>
      <w:pPr>
        <w:pStyle w:val="ListNumber"/>
      </w:pPr>
      <w:r>
        <w:rPr>
          <w:b/>
        </w:rPr>
        <w:t>Unequal tuning budgets.</w:t>
      </w:r>
      <w:r>
        <w:t xml:space="preserve"> Under a 5x3 nested cross-validation, an equally tuned XGBoost exceeds random forest by 0.0078 - more than most reported "improvements".</w:t>
      </w:r>
    </w:p>
    <w:p>
      <w:pPr>
        <w:pStyle w:val="ListNumber"/>
      </w:pPr>
      <w:r>
        <w:rPr>
          <w:b/>
        </w:rPr>
        <w:t>Metric selection.</w:t>
      </w:r>
      <w:r>
        <w:t xml:space="preserve"> Here RCCF has a better Log Loss but a worse ECE than the equal-weight forest; reporting either metric alone supports the opposite conclusion.</w:t>
      </w:r>
    </w:p>
    <w:p>
      <w:r>
        <w:t xml:space="preserve">The contribution to the literature is therefore a threshold rather than a refutation: </w:t>
      </w:r>
      <w:r>
        <w:rPr>
          <w:b/>
        </w:rPr>
        <w:t>any claim that an aggregation rule helps should survive control of these four factors, otherwise it should be described as a protocol effect.</w:t>
      </w:r>
    </w:p>
    <w:p>
      <w:pPr>
        <w:pStyle w:val="Heading2"/>
      </w:pPr>
      <w:r>
        <w:t>6.3 Practical decision matrix</w:t>
      </w:r>
    </w:p>
    <w:p>
      <w:r>
        <w:t>Table 7 converts the evidence of this study into engineering guidance. Each recommendation carries an explicit cost; no option dominates across all objectives.</w:t>
      </w:r>
    </w:p>
    <w:p>
      <w:r>
        <w:rPr>
          <w:b/>
        </w:rPr>
        <w:t>Table 7. Decision matrix for practical objectives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Objective</w:t>
            </w:r>
          </w:p>
        </w:tc>
        <w:tc>
          <w:tcPr>
            <w:tcW w:type="dxa" w:w="2448"/>
          </w:tcPr>
          <w:p>
            <w:pPr>
              <w:spacing w:after="0"/>
            </w:pPr>
            <w:r>
              <w:rPr>
                <w:sz w:val="16"/>
              </w:rPr>
            </w:r>
            <w:r>
              <w:rPr>
                <w:b/>
                <w:sz w:val="16"/>
              </w:rPr>
              <w:t>Recommended option</w:t>
            </w:r>
          </w:p>
        </w:tc>
        <w:tc>
          <w:tcPr>
            <w:tcW w:type="dxa" w:w="2448"/>
          </w:tcPr>
          <w:p>
            <w:pPr>
              <w:spacing w:after="0"/>
            </w:pPr>
            <w:r>
              <w:rPr>
                <w:sz w:val="16"/>
              </w:rPr>
            </w:r>
            <w:r>
              <w:rPr>
                <w:b/>
                <w:sz w:val="16"/>
              </w:rPr>
              <w:t>Evidence</w:t>
            </w:r>
          </w:p>
        </w:tc>
        <w:tc>
          <w:tcPr>
            <w:tcW w:type="dxa" w:w="2448"/>
          </w:tcPr>
          <w:p>
            <w:pPr>
              <w:spacing w:after="0"/>
            </w:pPr>
            <w:r>
              <w:rPr>
                <w:sz w:val="16"/>
              </w:rPr>
            </w:r>
            <w:r>
              <w:rPr>
                <w:b/>
                <w:sz w:val="16"/>
              </w:rPr>
              <w:t>Cost</w:t>
            </w:r>
          </w:p>
        </w:tc>
      </w:tr>
      <w:tr>
        <w:tc>
          <w:tcPr>
            <w:tcW w:type="dxa" w:w="2448"/>
          </w:tcPr>
          <w:p>
            <w:pPr>
              <w:spacing w:after="0"/>
            </w:pPr>
            <w:r>
              <w:rPr>
                <w:sz w:val="16"/>
              </w:rPr>
            </w:r>
            <w:r>
              <w:rPr>
                <w:sz w:val="16"/>
              </w:rPr>
              <w:t>Maximise balanced discriminative performance</w:t>
            </w:r>
          </w:p>
        </w:tc>
        <w:tc>
          <w:tcPr>
            <w:tcW w:type="dxa" w:w="2448"/>
          </w:tcPr>
          <w:p>
            <w:pPr>
              <w:spacing w:after="0"/>
            </w:pPr>
            <w:r>
              <w:rPr>
                <w:sz w:val="16"/>
              </w:rPr>
            </w:r>
            <w:r>
              <w:rPr>
                <w:sz w:val="16"/>
              </w:rPr>
              <w:t>XGBoost or a tuned equal forest under an equal budget</w:t>
            </w:r>
          </w:p>
        </w:tc>
        <w:tc>
          <w:tcPr>
            <w:tcW w:type="dxa" w:w="2448"/>
          </w:tcPr>
          <w:p>
            <w:pPr>
              <w:spacing w:after="0"/>
            </w:pPr>
            <w:r>
              <w:rPr>
                <w:sz w:val="16"/>
              </w:rPr>
            </w:r>
            <w:r>
              <w:rPr>
                <w:sz w:val="16"/>
              </w:rPr>
              <w:t>5x3 nested cross-validation (CV): XGBoost minus random forest = +0.0078, interval excludes zero</w:t>
            </w:r>
          </w:p>
        </w:tc>
        <w:tc>
          <w:tcPr>
            <w:tcW w:type="dxa" w:w="2448"/>
          </w:tcPr>
          <w:p>
            <w:pPr>
              <w:spacing w:after="0"/>
            </w:pPr>
            <w:r>
              <w:rPr>
                <w:sz w:val="16"/>
              </w:rPr>
            </w:r>
            <w:r>
              <w:rPr>
                <w:sz w:val="16"/>
              </w:rPr>
              <w:t>Requires a tuning budget and longer training</w:t>
            </w:r>
          </w:p>
        </w:tc>
      </w:tr>
      <w:tr>
        <w:tc>
          <w:tcPr>
            <w:tcW w:type="dxa" w:w="2448"/>
          </w:tcPr>
          <w:p>
            <w:pPr>
              <w:spacing w:after="0"/>
            </w:pPr>
            <w:r>
              <w:rPr>
                <w:sz w:val="16"/>
              </w:rPr>
            </w:r>
            <w:r>
              <w:rPr>
                <w:sz w:val="16"/>
              </w:rPr>
              <w:t>Minimise inference latency</w:t>
            </w:r>
          </w:p>
        </w:tc>
        <w:tc>
          <w:tcPr>
            <w:tcW w:type="dxa" w:w="2448"/>
          </w:tcPr>
          <w:p>
            <w:pPr>
              <w:spacing w:after="0"/>
            </w:pPr>
            <w:r>
              <w:rPr>
                <w:sz w:val="16"/>
              </w:rPr>
            </w:r>
            <w:r>
              <w:rPr>
                <w:sz w:val="16"/>
              </w:rPr>
              <w:t>Equal-weight chi-square forest</w:t>
            </w:r>
          </w:p>
        </w:tc>
        <w:tc>
          <w:tcPr>
            <w:tcW w:type="dxa" w:w="2448"/>
          </w:tcPr>
          <w:p>
            <w:pPr>
              <w:spacing w:after="0"/>
            </w:pPr>
            <w:r>
              <w:rPr>
                <w:sz w:val="16"/>
              </w:rPr>
            </w:r>
            <w:r>
              <w:rPr>
                <w:sz w:val="16"/>
              </w:rPr>
              <w:t>P50 2.96 ms against 14.62 ms for the conditional branch</w:t>
            </w:r>
          </w:p>
        </w:tc>
        <w:tc>
          <w:tcPr>
            <w:tcW w:type="dxa" w:w="2448"/>
          </w:tcPr>
          <w:p>
            <w:pPr>
              <w:spacing w:after="0"/>
            </w:pPr>
            <w:r>
              <w:rPr>
                <w:sz w:val="16"/>
              </w:rPr>
            </w:r>
            <w:r>
              <w:rPr>
                <w:sz w:val="16"/>
              </w:rPr>
              <w:t>Forgoes probability re-weighting</w:t>
            </w:r>
          </w:p>
        </w:tc>
      </w:tr>
      <w:tr>
        <w:tc>
          <w:tcPr>
            <w:tcW w:type="dxa" w:w="2448"/>
          </w:tcPr>
          <w:p>
            <w:pPr>
              <w:spacing w:after="0"/>
            </w:pPr>
            <w:r>
              <w:rPr>
                <w:sz w:val="16"/>
              </w:rPr>
            </w:r>
            <w:r>
              <w:rPr>
                <w:sz w:val="16"/>
              </w:rPr>
              <w:t>Best probability quality</w:t>
            </w:r>
          </w:p>
        </w:tc>
        <w:tc>
          <w:tcPr>
            <w:tcW w:type="dxa" w:w="2448"/>
          </w:tcPr>
          <w:p>
            <w:pPr>
              <w:spacing w:after="0"/>
            </w:pPr>
            <w:r>
              <w:rPr>
                <w:sz w:val="16"/>
              </w:rPr>
            </w:r>
            <w:r>
              <w:rPr>
                <w:sz w:val="16"/>
              </w:rPr>
              <w:t>Conditional weighting plus temperature scaling, reporting Log Loss and ECE together</w:t>
            </w:r>
          </w:p>
        </w:tc>
        <w:tc>
          <w:tcPr>
            <w:tcW w:type="dxa" w:w="2448"/>
          </w:tcPr>
          <w:p>
            <w:pPr>
              <w:spacing w:after="0"/>
            </w:pPr>
            <w:r>
              <w:rPr>
                <w:sz w:val="16"/>
              </w:rPr>
            </w:r>
            <w:r>
              <w:rPr>
                <w:sz w:val="16"/>
              </w:rPr>
              <w:t>Log Loss 0.0515 against 0.0528, but ECE is worse</w:t>
            </w:r>
          </w:p>
        </w:tc>
        <w:tc>
          <w:tcPr>
            <w:tcW w:type="dxa" w:w="2448"/>
          </w:tcPr>
          <w:p>
            <w:pPr>
              <w:spacing w:after="0"/>
            </w:pPr>
            <w:r>
              <w:rPr>
                <w:sz w:val="16"/>
              </w:rPr>
            </w:r>
            <w:r>
              <w:rPr>
                <w:sz w:val="16"/>
              </w:rPr>
              <w:t>About 5x inference cost; metrics disagree</w:t>
            </w:r>
          </w:p>
        </w:tc>
      </w:tr>
      <w:tr>
        <w:tc>
          <w:tcPr>
            <w:tcW w:type="dxa" w:w="2448"/>
          </w:tcPr>
          <w:p>
            <w:pPr>
              <w:spacing w:after="0"/>
            </w:pPr>
            <w:r>
              <w:rPr>
                <w:sz w:val="16"/>
              </w:rPr>
            </w:r>
            <w:r>
              <w:rPr>
                <w:sz w:val="16"/>
              </w:rPr>
              <w:t>Unknown-attack rejection</w:t>
            </w:r>
          </w:p>
        </w:tc>
        <w:tc>
          <w:tcPr>
            <w:tcW w:type="dxa" w:w="2448"/>
          </w:tcPr>
          <w:p>
            <w:pPr>
              <w:spacing w:after="0"/>
            </w:pPr>
            <w:r>
              <w:rPr>
                <w:sz w:val="16"/>
              </w:rPr>
            </w:r>
            <w:r>
              <w:rPr>
                <w:sz w:val="16"/>
              </w:rPr>
              <w:t>Equal-weight forest with an independent conformal threshold</w:t>
            </w:r>
          </w:p>
        </w:tc>
        <w:tc>
          <w:tcPr>
            <w:tcW w:type="dxa" w:w="2448"/>
          </w:tcPr>
          <w:p>
            <w:pPr>
              <w:spacing w:after="0"/>
            </w:pPr>
            <w:r>
              <w:rPr>
                <w:sz w:val="16"/>
              </w:rPr>
            </w:r>
            <w:r>
              <w:rPr>
                <w:sz w:val="16"/>
              </w:rPr>
              <w:t>AUROC 0.92-0.94 against 0.64-0.69</w:t>
            </w:r>
          </w:p>
        </w:tc>
        <w:tc>
          <w:tcPr>
            <w:tcW w:type="dxa" w:w="2448"/>
          </w:tcPr>
          <w:p>
            <w:pPr>
              <w:spacing w:after="0"/>
            </w:pPr>
            <w:r>
              <w:rPr>
                <w:sz w:val="16"/>
              </w:rPr>
            </w:r>
            <w:r>
              <w:rPr>
                <w:sz w:val="16"/>
              </w:rPr>
              <w:t>Higher false-rejection rate on known classes; the operating point must be recalibrated</w:t>
            </w:r>
          </w:p>
        </w:tc>
      </w:tr>
      <w:tr>
        <w:tc>
          <w:tcPr>
            <w:tcW w:type="dxa" w:w="2448"/>
          </w:tcPr>
          <w:p>
            <w:pPr>
              <w:spacing w:after="0"/>
            </w:pPr>
            <w:r>
              <w:rPr>
                <w:sz w:val="16"/>
              </w:rPr>
            </w:r>
            <w:r>
              <w:rPr>
                <w:sz w:val="16"/>
              </w:rPr>
              <w:t>Cross-file or cross-scenario evaluation</w:t>
            </w:r>
          </w:p>
        </w:tc>
        <w:tc>
          <w:tcPr>
            <w:tcW w:type="dxa" w:w="2448"/>
          </w:tcPr>
          <w:p>
            <w:pPr>
              <w:spacing w:after="0"/>
            </w:pPr>
            <w:r>
              <w:rPr>
                <w:sz w:val="16"/>
              </w:rPr>
            </w:r>
            <w:r>
              <w:rPr>
                <w:sz w:val="16"/>
              </w:rPr>
              <w:t>Avoid single-file training; report a file-by-label coverage matrix</w:t>
            </w:r>
          </w:p>
        </w:tc>
        <w:tc>
          <w:tcPr>
            <w:tcW w:type="dxa" w:w="2448"/>
          </w:tcPr>
          <w:p>
            <w:pPr>
              <w:spacing w:after="0"/>
            </w:pPr>
            <w:r>
              <w:rPr>
                <w:sz w:val="16"/>
              </w:rPr>
            </w:r>
            <w:r>
              <w:rPr>
                <w:sz w:val="16"/>
              </w:rPr>
              <w:t>File-level Macro-F1 spans 0.3325-0.9997</w:t>
            </w:r>
          </w:p>
        </w:tc>
        <w:tc>
          <w:tcPr>
            <w:tcW w:type="dxa" w:w="2448"/>
          </w:tcPr>
          <w:p>
            <w:pPr>
              <w:spacing w:after="0"/>
            </w:pPr>
            <w:r>
              <w:rPr>
                <w:sz w:val="16"/>
              </w:rPr>
            </w:r>
            <w:r>
              <w:rPr>
                <w:sz w:val="16"/>
              </w:rPr>
              <w:t>Additional data-coverage auditing effort</w:t>
            </w:r>
          </w:p>
        </w:tc>
      </w:tr>
      <w:tr>
        <w:tc>
          <w:tcPr>
            <w:tcW w:type="dxa" w:w="2448"/>
          </w:tcPr>
          <w:p>
            <w:pPr>
              <w:spacing w:after="0"/>
            </w:pPr>
            <w:r>
              <w:rPr>
                <w:sz w:val="16"/>
              </w:rPr>
            </w:r>
            <w:r>
              <w:rPr>
                <w:sz w:val="16"/>
              </w:rPr>
              <w:t>Reproducibility of results</w:t>
            </w:r>
          </w:p>
        </w:tc>
        <w:tc>
          <w:tcPr>
            <w:tcW w:type="dxa" w:w="2448"/>
          </w:tcPr>
          <w:p>
            <w:pPr>
              <w:spacing w:after="0"/>
            </w:pPr>
            <w:r>
              <w:rPr>
                <w:sz w:val="16"/>
              </w:rPr>
            </w:r>
            <w:r>
              <w:rPr>
                <w:sz w:val="16"/>
              </w:rPr>
              <w:t>Adopt this protocol and release per-row predictions</w:t>
            </w:r>
          </w:p>
        </w:tc>
        <w:tc>
          <w:tcPr>
            <w:tcW w:type="dxa" w:w="2448"/>
          </w:tcPr>
          <w:p>
            <w:pPr>
              <w:spacing w:after="0"/>
            </w:pPr>
            <w:r>
              <w:rPr>
                <w:sz w:val="16"/>
              </w:rPr>
            </w:r>
            <w:r>
              <w:rPr>
                <w:sz w:val="16"/>
              </w:rPr>
              <w:t>All aggregate metrics can be recomputed from released probabilities</w:t>
            </w:r>
          </w:p>
        </w:tc>
        <w:tc>
          <w:tcPr>
            <w:tcW w:type="dxa" w:w="2448"/>
          </w:tcPr>
          <w:p>
            <w:pPr>
              <w:spacing w:after="0"/>
            </w:pPr>
            <w:r>
              <w:rPr>
                <w:sz w:val="16"/>
              </w:rPr>
            </w:r>
            <w:r>
              <w:rPr>
                <w:sz w:val="16"/>
              </w:rPr>
              <w:t>Extra storage and version management</w:t>
            </w:r>
          </w:p>
        </w:tc>
      </w:tr>
    </w:tbl>
    <w:p>
      <w:pPr>
        <w:spacing w:after="40"/>
      </w:pPr>
    </w:p>
    <w:p>
      <w:pPr>
        <w:pStyle w:val="Heading2"/>
      </w:pPr>
      <w:r>
        <w:t>6.4 Reporting recommendations for intrusion-detection evaluation</w:t>
      </w:r>
    </w:p>
    <w:p>
      <w:r>
        <w:t>Based on the measurements above, we recommend that studies on public intrusion-detection datasets report at least the following eight items. They concern the minimum requirement that a conclusion be reproducible by others, not additional methodological sophistication.</w:t>
      </w:r>
    </w:p>
    <w:p>
      <w:pPr>
        <w:pStyle w:val="ListNumber"/>
      </w:pPr>
      <w:r>
        <w:rPr>
          <w:b/>
        </w:rPr>
        <w:t>A raw-to-final counting chain</w:t>
      </w:r>
      <w:r>
        <w:t>: records remaining and removed at each processing stage, from the raw archive to the final research population.</w:t>
      </w:r>
    </w:p>
    <w:p>
      <w:pPr>
        <w:pStyle w:val="ListNumber"/>
      </w:pPr>
      <w:r>
        <w:rPr>
          <w:b/>
        </w:rPr>
        <w:t>Deduplication position and conflict rules</w:t>
      </w:r>
      <w:r>
        <w:t>: whether deduplication precedes or follows the split, and how identical feature vectors with different labels are handled.</w:t>
      </w:r>
    </w:p>
    <w:p>
      <w:pPr>
        <w:pStyle w:val="ListNumber"/>
      </w:pPr>
      <w:r>
        <w:rPr>
          <w:b/>
        </w:rPr>
        <w:t>Fitting boundaries for every transform</w:t>
      </w:r>
      <w:r>
        <w:t>: which partition fits the scaler, the feature selector, any resampler and the hyper-parameter search.</w:t>
      </w:r>
    </w:p>
    <w:p>
      <w:pPr>
        <w:pStyle w:val="ListNumber"/>
      </w:pPr>
      <w:r>
        <w:rPr>
          <w:b/>
        </w:rPr>
        <w:t>A clear separation of research population and target population</w:t>
      </w:r>
      <w:r>
        <w:t>: how the study subset was constructed and how it differs from the full corpus and from production priors.</w:t>
      </w:r>
    </w:p>
    <w:p>
      <w:pPr>
        <w:pStyle w:val="ListNumber"/>
      </w:pPr>
      <w:r>
        <w:rPr>
          <w:b/>
        </w:rPr>
        <w:t>An explicitly designated primary metric</w:t>
      </w:r>
      <w:r>
        <w:t>: under class imbalance, state in advance whether Macro-F1 or balanced accuracy is primary, with accuracy reported only as a reference.</w:t>
      </w:r>
    </w:p>
    <w:p>
      <w:pPr>
        <w:pStyle w:val="ListNumber"/>
      </w:pPr>
      <w:r>
        <w:rPr>
          <w:b/>
        </w:rPr>
        <w:t>Paired statistics and effect sizes</w:t>
      </w:r>
      <w:r>
        <w:t>: at minimum a paired difference, an interval estimate and a multiple-comparison correction; a single point estimate is not evidence.</w:t>
      </w:r>
    </w:p>
    <w:p>
      <w:pPr>
        <w:pStyle w:val="ListNumber"/>
      </w:pPr>
      <w:r>
        <w:rPr>
          <w:b/>
        </w:rPr>
        <w:t>Secondary costs reported separately</w:t>
      </w:r>
      <w:r>
        <w:t>: probability quality, open-set behaviour, robustness and latency should be reported independently and never merged into a single composite score.</w:t>
      </w:r>
    </w:p>
    <w:p>
      <w:pPr>
        <w:pStyle w:val="ListNumber"/>
      </w:pPr>
      <w:r>
        <w:rPr>
          <w:b/>
        </w:rPr>
        <w:t>Release of per-row predictions</w:t>
      </w:r>
      <w:r>
        <w:t>: publishing the prediction and probability for every test row lets third parties recompute every aggregate.</w:t>
      </w:r>
    </w:p>
    <w:p>
      <w:pPr>
        <w:pStyle w:val="Heading2"/>
      </w:pPr>
      <w:r>
        <w:t>6.5 Limitations and validity threats</w:t>
      </w:r>
    </w:p>
    <w:p>
      <w:r>
        <w:t>The conclusions are bounded as follows, and these bounds should be cited alongside them.</w:t>
      </w:r>
    </w:p>
    <w:p>
      <w:r>
        <w:rPr>
          <w:b/>
        </w:rPr>
        <w:t>The research populations are not production traffic.</w:t>
      </w:r>
      <w:r>
        <w:t xml:space="preserve"> The natural-prior population results from global deduplication, physical-range screening and a 20,000-per-class cap, giving 53,237 records; the balanced control contains only 3,365 records. Neither equals the full CIC-IDS2017 corpus, and neither represents real network priors. Every number in this paper is conditioned on these two populations.</w:t>
      </w:r>
    </w:p>
    <w:p>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r>
        <w:rPr>
          <w:b/>
        </w:rPr>
        <w:t>Latency measurements exclude the end-to-end path.</w:t>
      </w:r>
      <w:r>
        <w:t xml:space="preserve"> The reported milliseconds start from a numerical feature matrix and exclude packet capture, flow reassembly, feature extraction, alert transport and model hot-swapping.</w:t>
      </w:r>
    </w:p>
    <w:p>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test rows (0.21% of the test set) share a rounded feature vector with a training row. Removing those rows changes Macro-F1 by at most 0.00057 for any of the three models, so the overlap cannot explain the reported differences; coarser resolutions are reported in the supplementary material.</w:t>
      </w:r>
    </w:p>
    <w:p>
      <w:r>
        <w:rPr>
          <w:b/>
        </w:rPr>
        <w:t>Three datasets were evaluated; a fourth was not.</w:t>
      </w:r>
      <w:r>
        <w:t xml:space="preserve"> The conclusions are conditional on CIC-IDS2017, NSL-KDD and UNSW-NB15. A genuinely new dataset would test whether the reported protocol sensitivity and the inertness of conditional weighting extend beyond these three sources.</w:t>
      </w:r>
    </w:p>
    <w:p>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w:t>
      </w:r>
    </w:p>
    <w:p>
      <w:r>
        <w:rPr>
          <w:b/>
        </w:rPr>
        <w:t>Bootstrap intervals have a limited interpretation.</w:t>
      </w:r>
      <w:r>
        <w:t xml:space="preserve"> The paired bootstrap quantifies test-row resampling uncertainty only; it does not capture changes in network environment, temporal drift or traffic composition.</w:t>
      </w:r>
    </w:p>
    <w:p>
      <w:r>
        <w:rPr>
          <w:b/>
        </w:rPr>
        <w:t>Single hardware platform and single implementation.</w:t>
      </w:r>
      <w:r>
        <w:t xml:space="preserve"> Latency depends on hardware, the BLAS backend and thread settings. The environment is fixed and recorded, but no cross-platform portability is claimed.</w:t>
      </w:r>
    </w:p>
    <w:p>
      <w:pPr>
        <w:pStyle w:val="Heading1"/>
      </w:pPr>
      <w:r>
        <w:t>7. Conclusion</w:t>
      </w:r>
    </w:p>
    <w:p>
      <w:r>
        <w:t>This study tested the widely adopted assumption that sample-conditional ensemble weighting is better than equal voting, under a strict leakage-controlled protocol. Three conclusions follow.</w:t>
      </w:r>
    </w:p>
    <w:p>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inside equivalence margins of 0.005 and 0.01. The four experts disagree on no test row, and the normalised weight entropy is 0.99998. The cost is about an 80-fold increase in training time and a fivefold increase in batch inference time. Against a full-feature equal forest the gate is reliably better over ten seeds, but the magnitude matches that of a feature-view change.</w:t>
      </w:r>
    </w:p>
    <w:p>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[20].</w:t>
      </w:r>
    </w:p>
    <w:p>
      <w:pPr>
        <w:pStyle w:val="Heading1"/>
      </w:pPr>
      <w:r>
        <w:t>Data and code availability</w:t>
      </w:r>
    </w:p>
    <w:p>
      <w:r>
        <w:t>Processing scripts, audit intermediates, per-row predictions and figure-generation code are released at https://github.com/linran-muxue/leakage-controlled-nids-study (release v1.10.0, tag v1.10.0). Raw datasets are not redistributed; the paper records source URLs, retrieval dates, version snapshots and SHA-256 checksums.</w:t>
      </w:r>
    </w:p>
    <w:p>
      <w:pPr>
        <w:pStyle w:val="Heading1"/>
      </w:pPr>
      <w:r>
        <w:t>Funding</w:t>
      </w:r>
    </w:p>
    <w:p>
      <w:r>
        <w:t>To be completed by the author. If the work received no support of any kind, this should be stated explicitly.</w:t>
      </w:r>
    </w:p>
    <w:p>
      <w:pPr>
        <w:pStyle w:val="Heading1"/>
      </w:pPr>
      <w:r>
        <w:t>Declaration of competing interest</w:t>
      </w:r>
    </w:p>
    <w:p>
      <w:r>
        <w:t>To be completed by the author. If no competing interests exist, this should be stated explicitly.</w:t>
      </w:r>
    </w:p>
    <w:p>
      <w:pPr>
        <w:pStyle w:val="Heading1"/>
      </w:pPr>
      <w:r>
        <w:t>Declaration of generative AI and AI-assisted technologies</w:t>
      </w:r>
    </w:p>
    <w:p>
      <w:r>
        <w:t>Generative AI tools were used for language editing and software drafting. The author is responsible for verifying the code, data, citations and all conclusions, and has checked each reported number against the released artefacts.</w:t>
      </w:r>
    </w:p>
    <w:p>
      <w:pPr>
        <w:pStyle w:val="Heading1"/>
      </w:pPr>
      <w:r>
        <w:t>CRediT authorship contribution statement</w:t>
      </w:r>
    </w:p>
    <w:p>
      <w:r>
        <w:t>To be completed by the author according to actual contributions: conceptualisation, methodology, software, validation, formal analysis, data curation, writing - original draft, writing - review and editing, visualisation.</w:t>
      </w:r>
    </w:p>
    <w:p>
      <w:pPr>
        <w:pStyle w:val="Heading1"/>
      </w:pPr>
      <w:r>
        <w:t>References</w:t>
      </w:r>
    </w:p>
    <w:p>
      <w:r>
        <w:t>Note: all DOIs were verified against Crossref on 2026-09-16. Venues that do not assign Crossref DOIs (PMLR, NeurIPS, JMLR, USENIX) are marked as such rather than left pending.The individual checks are recorded in Supplementary S24.</w:t>
      </w:r>
    </w:p>
    <w:p>
      <w:pPr>
        <w:pStyle w:val="ListNumber"/>
      </w:pPr>
      <w:r>
        <w:t>Breiman L. Random forests. Machine Learning, 2001, 45(1): 5-32. DOI:10.1023/A:1010933404324.</w:t>
      </w:r>
    </w:p>
    <w:p>
      <w:pPr>
        <w:pStyle w:val="ListNumber"/>
      </w:pPr>
      <w:r>
        <w:t>Breiman L. Bagging predictors. Machine Learning, 1996, 24(2): 123-140. DOI:10.1007/BF00058655.</w:t>
      </w:r>
    </w:p>
    <w:p>
      <w:pPr>
        <w:pStyle w:val="ListNumber"/>
      </w:pPr>
      <w:r>
        <w:t>Geurts P, Ernst D, Wehenkel L. Extremely randomized trees. Machine Learning, 2006, 63(1): 3-42. DOI:10.1007/s10994-006-6226-1.</w:t>
      </w:r>
    </w:p>
    <w:p>
      <w:pPr>
        <w:pStyle w:val="ListNumber"/>
      </w:pPr>
      <w:r>
        <w:t>Chen T, Guestrin C. XGBoost: A scalable tree boosting system. KDD 2016: 785-794. DOI:10.1145/2939672.2939785.</w:t>
      </w:r>
    </w:p>
    <w:p>
      <w:pPr>
        <w:pStyle w:val="ListNumber"/>
      </w:pPr>
      <w:r>
        <w:t>Ke G, Meng Q, Finley T, et al. LightGBM: A highly efficient gradient boosting decision tree. NeurIPS 2017: 3146-3154. [no DOI; NeurIPS proceedings]</w:t>
      </w:r>
    </w:p>
    <w:p>
      <w:pPr>
        <w:pStyle w:val="ListNumber"/>
      </w:pPr>
      <w:r>
        <w:t>Freund Y, Schapire R E. A decision-theoretic generalization of on-line learning and an application to boosting. Journal of Computer and System Sciences, 1997, 55(1): 119-139. DOI:10.1006/jcss.1997.1504.</w:t>
      </w:r>
    </w:p>
    <w:p>
      <w:pPr>
        <w:pStyle w:val="ListNumber"/>
      </w:pPr>
      <w:r>
        <w:t>Friedman J H. Greedy function approximation: A gradient boosting machine. The Annals of Statistics, 2001, 29(5): 1189-1232. DOI:10.1214/aos/1013203451.</w:t>
      </w:r>
    </w:p>
    <w:p>
      <w:pPr>
        <w:pStyle w:val="ListNumber"/>
      </w:pPr>
      <w:r>
        <w:t>Dietterich T G. Ensemble methods in machine learning. MCS 2000: 1-15. DOI:10.1007/3-540-45014-9_1.</w:t>
      </w:r>
    </w:p>
    <w:p>
      <w:pPr>
        <w:pStyle w:val="ListNumber"/>
      </w:pPr>
      <w:r>
        <w:t>Kuncheva L I. Combining Pattern Classifiers: Methods and Algorithms. Wiley, 2004. DOI:10.1002/0471660264.</w:t>
      </w:r>
    </w:p>
    <w:p>
      <w:pPr>
        <w:pStyle w:val="ListNumber"/>
      </w:pPr>
      <w:r>
        <w:t>Wolpert D H. Stacked generalization. Neural Networks, 1992, 5(2): 241-259. DOI:10.1016/S0893-6080(05)80023-1.</w:t>
      </w:r>
    </w:p>
    <w:p>
      <w:pPr>
        <w:pStyle w:val="ListNumber"/>
      </w:pPr>
      <w:r>
        <w:t>Ting K M, Witten I H. Issues in stacked generalization. Journal of Artificial Intelligence Research, 1999, 10: 271-289. DOI:10.1613/jair.594.</w:t>
      </w:r>
    </w:p>
    <w:p>
      <w:pPr>
        <w:pStyle w:val="ListNumber"/>
      </w:pPr>
      <w:r>
        <w:t>Liu H, Setiono R. Chi2: Feature selection and discretization of numeric attributes. ICTAI 1995: 388-391. DOI:10.1109/TAI.1995.479783.</w:t>
      </w:r>
    </w:p>
    <w:p>
      <w:pPr>
        <w:pStyle w:val="ListNumber"/>
      </w:pPr>
      <w:r>
        <w:t>Guyon I, Elisseeff A. An introduction to variable and feature selection. JMLR, 2003, 3: 1157-1182. [no DOI; JMLR]</w:t>
      </w:r>
    </w:p>
    <w:p>
      <w:pPr>
        <w:pStyle w:val="ListNumber"/>
      </w:pPr>
      <w:r>
        <w:t>Sharafaldin I, Lashkari A H, Ghorbani A A. Toward generating a new intrusion detection dataset and intrusion traffic characterization. ICISSP 2018: 108-116. DOI:10.5220/0006639801080116.</w:t>
      </w:r>
    </w:p>
    <w:p>
      <w:pPr>
        <w:pStyle w:val="ListNumber"/>
      </w:pPr>
      <w:r>
        <w:t>Tavallaee M, Bagheri E, Lu W, Ghorbani A A. A detailed analysis of the KDD CUP 99 data set. CISDA 2009: 1-6. DOI:10.1109/CISDA.2009.5356528.</w:t>
      </w:r>
    </w:p>
    <w:p>
      <w:pPr>
        <w:pStyle w:val="ListNumber"/>
      </w:pPr>
      <w:r>
        <w:t>Moustafa N, Slay J. UNSW-NB15: A comprehensive data set for network intrusion detection systems. MilCIS 2015: 1-6. DOI:10.1109/MilCIS.2015.7348942.</w:t>
      </w:r>
    </w:p>
    <w:p>
      <w:pPr>
        <w:pStyle w:val="ListNumber"/>
      </w:pPr>
      <w:r>
        <w:t>Ring M, Wunderlich S, Scheuring D, et al. A survey of network-based intrusion detection data sets. Computers &amp; Security, 2019, 86: 147-167. DOI:10.1016/j.cose.2019.06.005.</w:t>
      </w:r>
    </w:p>
    <w:p>
      <w:pPr>
        <w:pStyle w:val="ListNumber"/>
      </w:pPr>
      <w:r>
        <w:t>Engelen G, Timmerman J. Troubleshooting an intrusion detection dataset: The CICIDS2017 case study. IEEE S&amp;P Workshops 2021: 7-12. DOI:10.1109/SPW53761.2021.00009.</w:t>
      </w:r>
    </w:p>
    <w:p>
      <w:pPr>
        <w:pStyle w:val="ListNumber"/>
      </w:pPr>
      <w:r>
        <w:t>Liu L, Engelen G, Timmerman J, et al. Error prevalence in NIDS datasets: A case study on CIC-IDS-2017 and CSE-CIC-IDS-2018. IEEE CNS 2022. DOI:10.1109/CNS56114.2022.9947235.</w:t>
      </w:r>
    </w:p>
    <w:p>
      <w:pPr>
        <w:pStyle w:val="ListNumber"/>
      </w:pPr>
      <w:r>
        <w:t>Arp D, Quiring E, Pendlebury F, et al. Dos and don'ts of machine learning in computer security. USENIX Security 2022: 3971-3988. [no DOI; USENIX Security proceedings]</w:t>
      </w:r>
    </w:p>
    <w:p>
      <w:pPr>
        <w:pStyle w:val="ListNumber"/>
      </w:pPr>
      <w:r>
        <w:t>Sommer R, Paxson V. Outside the closed world: On using machine learning for network intrusion detection. IEEE S&amp;P 2010: 305-316. DOI:10.1109/SP.2010.25.</w:t>
      </w:r>
    </w:p>
    <w:p>
      <w:pPr>
        <w:pStyle w:val="ListNumber"/>
      </w:pPr>
      <w:r>
        <w:t>Buczak A L, Guven E. A survey of data mining and machine learning methods for cyber security intrusion detection. IEEE Communications Surveys &amp; Tutorials, 2016, 18(2): 1153-1176. DOI:10.1109/COMST.2015.2494502.</w:t>
      </w:r>
    </w:p>
    <w:p>
      <w:pPr>
        <w:pStyle w:val="ListNumber"/>
      </w:pPr>
      <w:r>
        <w:t>Khraisat A, Gondal I, Vamplew P, Kamruzzaman J. Survey of intrusion detection systems: Techniques, datasets and challenges. Cybersecurity, 2019, 2: 20. DOI:10.1186/s42400-019-0038-7.</w:t>
      </w:r>
    </w:p>
    <w:p>
      <w:pPr>
        <w:pStyle w:val="ListNumber"/>
      </w:pPr>
      <w:r>
        <w:t>Apruzzese G, Laskov P, Montgomery E, et al. The role of machine learning in cybersecurity. ACM Digital Threats: Research and Practice, 2023, 4(1): 1-38. DOI:10.1145/3545574.</w:t>
      </w:r>
    </w:p>
    <w:p>
      <w:pPr>
        <w:pStyle w:val="ListNumber"/>
      </w:pPr>
      <w:r>
        <w:t>Geng C, Huang S J, Chen S. Recent advances in open set recognition: A survey. IEEE TPAMI, 2021, 43(10): 3614-3631. DOI:10.1109/TPAMI.2020.2981604.</w:t>
      </w:r>
    </w:p>
    <w:p>
      <w:pPr>
        <w:pStyle w:val="ListNumber"/>
      </w:pPr>
      <w:r>
        <w:t>Bendale A, Boult T E. Towards open set deep networks. CVPR 2016: 1563-1572. DOI:10.1109/CVPR.2016.173.</w:t>
      </w:r>
    </w:p>
    <w:p>
      <w:pPr>
        <w:pStyle w:val="ListNumber"/>
      </w:pPr>
      <w:r>
        <w:t>Guo C, Pleiss G, Sun Y, Weinberger K Q. On calibration of modern neural networks. ICML 2017: 1321-1330. [no DOI; PMLR]</w:t>
      </w:r>
    </w:p>
    <w:p>
      <w:pPr>
        <w:pStyle w:val="ListNumber"/>
      </w:pPr>
      <w:r>
        <w:t>Ovadia Y, Fertig E, Ren J, et al. Can you trust your model's uncertainty? Evaluating predictive uncertainty under dataset shift. NeurIPS 2019: 13991-14002. [no DOI; NeurIPS proceedings]</w:t>
      </w:r>
    </w:p>
    <w:p>
      <w:pPr>
        <w:pStyle w:val="ListNumber"/>
      </w:pPr>
      <w:r>
        <w:t>Lakshminarayanan B, Pritzel A, Blundell C. Simple and scalable predictive uncertainty estimation using deep ensembles. NeurIPS 2017: 6402-6413. [no DOI; NeurIPS proceedings]</w:t>
      </w:r>
    </w:p>
    <w:p>
      <w:pPr>
        <w:pStyle w:val="ListNumber"/>
      </w:pPr>
      <w:r>
        <w:t>Angelopoulos A N, Bates S. Conformal prediction: A gentle introduction. Foundations and Trends in Machine Learning, 2023, 16(4): 494-591. DOI:10.1561/2200000101.</w:t>
      </w:r>
    </w:p>
    <w:p>
      <w:pPr>
        <w:pStyle w:val="ListNumber"/>
      </w:pPr>
      <w:r>
        <w:t>Vovk V, Gammerman A, Shafer G. Algorithmic Learning in a Random World. Springer, 2005. DOI:10.1007/b106715.</w:t>
      </w:r>
    </w:p>
    <w:p>
      <w:pPr>
        <w:pStyle w:val="ListNumber"/>
      </w:pPr>
      <w:r>
        <w:t>Shafer G, Vovk V. A tutorial on conformal prediction. JMLR, 2008, 9: 371-421. [no DOI; JMLR]</w:t>
      </w:r>
    </w:p>
    <w:p>
      <w:pPr>
        <w:pStyle w:val="ListNumber"/>
      </w:pPr>
      <w:r>
        <w:t>Lei J, G'Sell M, Rinaldo A, et al. Distribution-free predictive inference for regression. JASA, 2018, 113(523): 1094-1111. DOI:10.1080/01621459.2017.1307116.</w:t>
      </w:r>
    </w:p>
    <w:p>
      <w:pPr>
        <w:pStyle w:val="ListNumber"/>
      </w:pPr>
      <w:r>
        <w:t>McNemar Q. Note on the sampling error of the difference between correlated proportions or percentages. Psychometrika, 1947, 12(2): 153-157. DOI:10.1007/BF02295996.</w:t>
      </w:r>
    </w:p>
    <w:p>
      <w:pPr>
        <w:pStyle w:val="ListNumber"/>
      </w:pPr>
      <w:r>
        <w:t>Dietterich T G. Approximate statistical tests for comparing supervised classification learning algorithms. Neural Computation, 1998, 10(7): 1895-1923. DOI:10.1162/089976698300017197.</w:t>
      </w:r>
    </w:p>
    <w:p>
      <w:pPr>
        <w:pStyle w:val="ListNumber"/>
      </w:pPr>
      <w:r>
        <w:t>Demsar J. Statistical comparisons of classifiers over multiple data sets. JMLR, 2006, 7: 1-30. [no DOI; JMLR]</w:t>
      </w:r>
    </w:p>
    <w:p>
      <w:pPr>
        <w:pStyle w:val="ListNumber"/>
      </w:pPr>
      <w:r>
        <w:t>Holm S. A simple sequentially rejective multiple test procedure. Scandinavian Journal of Statistics, 1979, 6(2): 65-70. [no DOI; JSTOR stable record 4615733]</w:t>
      </w:r>
    </w:p>
    <w:p>
      <w:pPr>
        <w:pStyle w:val="ListNumber"/>
      </w:pPr>
      <w:r>
        <w:t>Efron B, Tibshirani R J. An Introduction to the Bootstrap. Chapman &amp; Hall/CRC, 1993. ISBN 978-0-412-04231-7.</w:t>
      </w:r>
    </w:p>
    <w:p>
      <w:pPr>
        <w:pStyle w:val="ListNumber"/>
      </w:pPr>
      <w:r>
        <w:t>Lakens D. Equivalence tests: A practical primer for t tests, correlations, and meta-analyses. Social Psychological and Personality Science, 2017, 8(4): 355-362. DOI:10.1177/1948550617697177.</w:t>
      </w:r>
    </w:p>
    <w:p>
      <w:pPr>
        <w:pStyle w:val="ListNumber"/>
      </w:pPr>
      <w:r>
        <w:t>Han S, Kim Y, Lee S. Improvement of the classification performance of an intrusion detection model for rare and unknown attack traffic. Electronics, 2021, 10(18): 2268. DOI:10.3390/electronics10182268.</w:t>
      </w:r>
    </w:p>
    <w:p>
      <w:pPr>
        <w:pStyle w:val="ListNumber"/>
      </w:pPr>
      <w:r>
        <w:t>Guolou P, Ye X. Open-set intrusion detection with MinMax autoencoder and pseudo extreme value machine. IJCNN 2022. DOI:10.1109/IJCNN55064.2022.9892858.</w:t>
      </w:r>
    </w:p>
    <w:p>
      <w:pPr>
        <w:pStyle w:val="ListNumber"/>
      </w:pPr>
      <w:r>
        <w:t>Pedregosa F, Varoquaux G, Gramfort A, et al. Scikit-learn: Machine learning in Python. JMLR, 2011, 12: 2825-2830. [no DOI; JMLR]</w:t>
      </w:r>
    </w:p>
    <w:p>
      <w:pPr>
        <w:pStyle w:val="ListNumber"/>
      </w:pPr>
      <w:r>
        <w:t>Harris C R, Millman K J, van der Walt S J, et al. Array programming with NumPy. Nature, 2020, 585: 357-362. DOI:10.1038/s41586-020-2649-2.</w:t>
      </w:r>
    </w:p>
    <w:p>
      <w:pPr>
        <w:pStyle w:val="ListNumber"/>
      </w:pPr>
      <w:r>
        <w:t>McKinney W. Data structures for statistical computing in Python. SciPy 2010: 56-61. DOI:10.25080/Majora-92bf1922-00a.</w:t>
      </w:r>
    </w:p>
    <w:p>
      <w:pPr>
        <w:pStyle w:val="ListNumber"/>
      </w:pPr>
      <w:r>
        <w:t>Hunter J D. Matplotlib: A 2D graphics environment. Computing in Science &amp; Engineering, 2007, 9(3): 90-95. DOI:10.1109/MCSE.2007.55.</w:t>
      </w:r>
    </w:p>
    <w:p>
      <w:pPr>
        <w:pStyle w:val="Heading1"/>
      </w:pPr>
      <w:r>
        <w:t>Supplementary material</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Item</w:t>
            </w:r>
          </w:p>
        </w:tc>
        <w:tc>
          <w:tcPr>
            <w:tcW w:type="dxa" w:w="4896"/>
          </w:tcPr>
          <w:p>
            <w:pPr>
              <w:spacing w:after="0"/>
            </w:pPr>
            <w:r>
              <w:rPr>
                <w:sz w:val="16"/>
              </w:rPr>
            </w:r>
            <w:r>
              <w:rPr>
                <w:b/>
                <w:sz w:val="16"/>
              </w:rPr>
              <w:t>Content</w:t>
            </w:r>
          </w:p>
        </w:tc>
      </w:tr>
      <w:tr>
        <w:tc>
          <w:tcPr>
            <w:tcW w:type="dxa" w:w="4896"/>
          </w:tcPr>
          <w:p>
            <w:pPr>
              <w:spacing w:after="0"/>
            </w:pPr>
            <w:r>
              <w:rPr>
                <w:sz w:val="16"/>
              </w:rPr>
            </w:r>
            <w:r>
              <w:rPr>
                <w:sz w:val="16"/>
              </w:rPr>
              <w:t>S01</w:t>
            </w:r>
          </w:p>
        </w:tc>
        <w:tc>
          <w:tcPr>
            <w:tcW w:type="dxa" w:w="4896"/>
          </w:tcPr>
          <w:p>
            <w:pPr>
              <w:spacing w:after="0"/>
            </w:pPr>
            <w:r>
              <w:rPr>
                <w:sz w:val="16"/>
              </w:rPr>
            </w:r>
            <w:r>
              <w:rPr>
                <w:sz w:val="16"/>
              </w:rPr>
              <w:t>Dataset sources, retrieval dates and SHA-256 checksums</w:t>
            </w:r>
          </w:p>
        </w:tc>
      </w:tr>
      <w:tr>
        <w:tc>
          <w:tcPr>
            <w:tcW w:type="dxa" w:w="4896"/>
          </w:tcPr>
          <w:p>
            <w:pPr>
              <w:spacing w:after="0"/>
            </w:pPr>
            <w:r>
              <w:rPr>
                <w:sz w:val="16"/>
              </w:rPr>
            </w:r>
            <w:r>
              <w:rPr>
                <w:sz w:val="16"/>
              </w:rPr>
              <w:t>S02</w:t>
            </w:r>
          </w:p>
        </w:tc>
        <w:tc>
          <w:tcPr>
            <w:tcW w:type="dxa" w:w="4896"/>
          </w:tcPr>
          <w:p>
            <w:pPr>
              <w:spacing w:after="0"/>
            </w:pPr>
            <w:r>
              <w:rPr>
                <w:sz w:val="16"/>
              </w:rPr>
            </w:r>
            <w:r>
              <w:rPr>
                <w:sz w:val="16"/>
              </w:rPr>
              <w:t>Per-file processing stage counts for CIC-IDS2017</w:t>
            </w:r>
          </w:p>
        </w:tc>
      </w:tr>
      <w:tr>
        <w:tc>
          <w:tcPr>
            <w:tcW w:type="dxa" w:w="4896"/>
          </w:tcPr>
          <w:p>
            <w:pPr>
              <w:spacing w:after="0"/>
            </w:pPr>
            <w:r>
              <w:rPr>
                <w:sz w:val="16"/>
              </w:rPr>
            </w:r>
            <w:r>
              <w:rPr>
                <w:sz w:val="16"/>
              </w:rPr>
              <w:t>S03</w:t>
            </w:r>
          </w:p>
        </w:tc>
        <w:tc>
          <w:tcPr>
            <w:tcW w:type="dxa" w:w="4896"/>
          </w:tcPr>
          <w:p>
            <w:pPr>
              <w:spacing w:after="0"/>
            </w:pPr>
            <w:r>
              <w:rPr>
                <w:sz w:val="16"/>
              </w:rPr>
            </w:r>
            <w:r>
              <w:rPr>
                <w:sz w:val="16"/>
              </w:rPr>
              <w:t>Class support for the natural-prior and balanced populations</w:t>
            </w:r>
          </w:p>
        </w:tc>
      </w:tr>
      <w:tr>
        <w:tc>
          <w:tcPr>
            <w:tcW w:type="dxa" w:w="4896"/>
          </w:tcPr>
          <w:p>
            <w:pPr>
              <w:spacing w:after="0"/>
            </w:pPr>
            <w:r>
              <w:rPr>
                <w:sz w:val="16"/>
              </w:rPr>
            </w:r>
            <w:r>
              <w:rPr>
                <w:sz w:val="16"/>
              </w:rPr>
              <w:t>S04</w:t>
            </w:r>
          </w:p>
        </w:tc>
        <w:tc>
          <w:tcPr>
            <w:tcW w:type="dxa" w:w="4896"/>
          </w:tcPr>
          <w:p>
            <w:pPr>
              <w:spacing w:after="0"/>
            </w:pPr>
            <w:r>
              <w:rPr>
                <w:sz w:val="16"/>
              </w:rPr>
            </w:r>
            <w:r>
              <w:rPr>
                <w:sz w:val="16"/>
              </w:rPr>
              <w:t>Training-side chi-square / mutual-information / ANOVA scores and selection frequencies</w:t>
            </w:r>
          </w:p>
        </w:tc>
      </w:tr>
      <w:tr>
        <w:tc>
          <w:tcPr>
            <w:tcW w:type="dxa" w:w="4896"/>
          </w:tcPr>
          <w:p>
            <w:pPr>
              <w:spacing w:after="0"/>
            </w:pPr>
            <w:r>
              <w:rPr>
                <w:sz w:val="16"/>
              </w:rPr>
            </w:r>
            <w:r>
              <w:rPr>
                <w:sz w:val="16"/>
              </w:rPr>
              <w:t>S05</w:t>
            </w:r>
          </w:p>
        </w:tc>
        <w:tc>
          <w:tcPr>
            <w:tcW w:type="dxa" w:w="4896"/>
          </w:tcPr>
          <w:p>
            <w:pPr>
              <w:spacing w:after="0"/>
            </w:pPr>
            <w:r>
              <w:rPr>
                <w:sz w:val="16"/>
              </w:rPr>
            </w:r>
            <w:r>
              <w:rPr>
                <w:sz w:val="16"/>
              </w:rPr>
              <w:t>Per-seed metric table (accuracy, macro precision/recall/F1, Log Loss, Brier, ECE, MCE)</w:t>
            </w:r>
          </w:p>
        </w:tc>
      </w:tr>
      <w:tr>
        <w:tc>
          <w:tcPr>
            <w:tcW w:type="dxa" w:w="4896"/>
          </w:tcPr>
          <w:p>
            <w:pPr>
              <w:spacing w:after="0"/>
            </w:pPr>
            <w:r>
              <w:rPr>
                <w:sz w:val="16"/>
              </w:rPr>
            </w:r>
            <w:r>
              <w:rPr>
                <w:sz w:val="16"/>
              </w:rPr>
              <w:t>S06</w:t>
            </w:r>
          </w:p>
        </w:tc>
        <w:tc>
          <w:tcPr>
            <w:tcW w:type="dxa" w:w="4896"/>
          </w:tcPr>
          <w:p>
            <w:pPr>
              <w:spacing w:after="0"/>
            </w:pPr>
            <w:r>
              <w:rPr>
                <w:sz w:val="16"/>
              </w:rPr>
            </w:r>
            <w:r>
              <w:rPr>
                <w:sz w:val="16"/>
              </w:rPr>
              <w:t>Per-class classification reports for all models and seeds</w:t>
            </w:r>
          </w:p>
        </w:tc>
      </w:tr>
      <w:tr>
        <w:tc>
          <w:tcPr>
            <w:tcW w:type="dxa" w:w="4896"/>
          </w:tcPr>
          <w:p>
            <w:pPr>
              <w:spacing w:after="0"/>
            </w:pPr>
            <w:r>
              <w:rPr>
                <w:sz w:val="16"/>
              </w:rPr>
            </w:r>
            <w:r>
              <w:rPr>
                <w:sz w:val="16"/>
              </w:rPr>
              <w:t>S07</w:t>
            </w:r>
          </w:p>
        </w:tc>
        <w:tc>
          <w:tcPr>
            <w:tcW w:type="dxa" w:w="4896"/>
          </w:tcPr>
          <w:p>
            <w:pPr>
              <w:spacing w:after="0"/>
            </w:pPr>
            <w:r>
              <w:rPr>
                <w:sz w:val="16"/>
              </w:rPr>
            </w:r>
            <w:r>
              <w:rPr>
                <w:sz w:val="16"/>
              </w:rPr>
              <w:t>Normalised confusion matrices (RCCF and equal-weight forest)</w:t>
            </w:r>
          </w:p>
        </w:tc>
      </w:tr>
      <w:tr>
        <w:tc>
          <w:tcPr>
            <w:tcW w:type="dxa" w:w="4896"/>
          </w:tcPr>
          <w:p>
            <w:pPr>
              <w:spacing w:after="0"/>
            </w:pPr>
            <w:r>
              <w:rPr>
                <w:sz w:val="16"/>
              </w:rPr>
            </w:r>
            <w:r>
              <w:rPr>
                <w:sz w:val="16"/>
              </w:rPr>
              <w:t>S08</w:t>
            </w:r>
          </w:p>
        </w:tc>
        <w:tc>
          <w:tcPr>
            <w:tcW w:type="dxa" w:w="4896"/>
          </w:tcPr>
          <w:p>
            <w:pPr>
              <w:spacing w:after="0"/>
            </w:pPr>
            <w:r>
              <w:rPr>
                <w:sz w:val="16"/>
              </w:rPr>
            </w:r>
            <w:r>
              <w:rPr>
                <w:sz w:val="16"/>
              </w:rPr>
              <w:t>Row-level comparison of tree-level weighting against equal voting</w:t>
            </w:r>
          </w:p>
        </w:tc>
      </w:tr>
      <w:tr>
        <w:tc>
          <w:tcPr>
            <w:tcW w:type="dxa" w:w="4896"/>
          </w:tcPr>
          <w:p>
            <w:pPr>
              <w:spacing w:after="0"/>
            </w:pPr>
            <w:r>
              <w:rPr>
                <w:sz w:val="16"/>
              </w:rPr>
            </w:r>
            <w:r>
              <w:rPr>
                <w:sz w:val="16"/>
              </w:rPr>
              <w:t>S09</w:t>
            </w:r>
          </w:p>
        </w:tc>
        <w:tc>
          <w:tcPr>
            <w:tcW w:type="dxa" w:w="4896"/>
          </w:tcPr>
          <w:p>
            <w:pPr>
              <w:spacing w:after="0"/>
            </w:pPr>
            <w:r>
              <w:rPr>
                <w:sz w:val="16"/>
              </w:rPr>
            </w:r>
            <w:r>
              <w:rPr>
                <w:sz w:val="16"/>
              </w:rPr>
              <w:t>Full record of weight distributions, weight entropy and probability L1 changes</w:t>
            </w:r>
          </w:p>
        </w:tc>
      </w:tr>
      <w:tr>
        <w:tc>
          <w:tcPr>
            <w:tcW w:type="dxa" w:w="4896"/>
          </w:tcPr>
          <w:p>
            <w:pPr>
              <w:spacing w:after="0"/>
            </w:pPr>
            <w:r>
              <w:rPr>
                <w:sz w:val="16"/>
              </w:rPr>
            </w:r>
            <w:r>
              <w:rPr>
                <w:sz w:val="16"/>
              </w:rPr>
              <w:t>S10</w:t>
            </w:r>
          </w:p>
        </w:tc>
        <w:tc>
          <w:tcPr>
            <w:tcW w:type="dxa" w:w="4896"/>
          </w:tcPr>
          <w:p>
            <w:pPr>
              <w:spacing w:after="0"/>
            </w:pPr>
            <w:r>
              <w:rPr>
                <w:sz w:val="16"/>
              </w:rPr>
            </w:r>
            <w:r>
              <w:rPr>
                <w:sz w:val="16"/>
              </w:rPr>
              <w:t>Protocol-sensitivity experiments (deduplication order, repeated splits)</w:t>
            </w:r>
          </w:p>
        </w:tc>
      </w:tr>
      <w:tr>
        <w:tc>
          <w:tcPr>
            <w:tcW w:type="dxa" w:w="4896"/>
          </w:tcPr>
          <w:p>
            <w:pPr>
              <w:spacing w:after="0"/>
            </w:pPr>
            <w:r>
              <w:rPr>
                <w:sz w:val="16"/>
              </w:rPr>
            </w:r>
            <w:r>
              <w:rPr>
                <w:sz w:val="16"/>
              </w:rPr>
              <w:t>S11</w:t>
            </w:r>
          </w:p>
        </w:tc>
        <w:tc>
          <w:tcPr>
            <w:tcW w:type="dxa" w:w="4896"/>
          </w:tcPr>
          <w:p>
            <w:pPr>
              <w:spacing w:after="0"/>
            </w:pPr>
            <w:r>
              <w:rPr>
                <w:sz w:val="16"/>
              </w:rPr>
            </w:r>
            <w:r>
              <w:rPr>
                <w:sz w:val="16"/>
              </w:rPr>
              <w:t>5x3 nested cross-validation fold metrics and paired statistics</w:t>
            </w:r>
          </w:p>
        </w:tc>
      </w:tr>
      <w:tr>
        <w:tc>
          <w:tcPr>
            <w:tcW w:type="dxa" w:w="4896"/>
          </w:tcPr>
          <w:p>
            <w:pPr>
              <w:spacing w:after="0"/>
            </w:pPr>
            <w:r>
              <w:rPr>
                <w:sz w:val="16"/>
              </w:rPr>
            </w:r>
            <w:r>
              <w:rPr>
                <w:sz w:val="16"/>
              </w:rPr>
              <w:t>S12</w:t>
            </w:r>
          </w:p>
        </w:tc>
        <w:tc>
          <w:tcPr>
            <w:tcW w:type="dxa" w:w="4896"/>
          </w:tcPr>
          <w:p>
            <w:pPr>
              <w:spacing w:after="0"/>
            </w:pPr>
            <w:r>
              <w:rPr>
                <w:sz w:val="16"/>
              </w:rPr>
            </w:r>
            <w:r>
              <w:rPr>
                <w:sz w:val="16"/>
              </w:rPr>
              <w:t>NSL-KDD per-class metrics and prediction counts</w:t>
            </w:r>
          </w:p>
        </w:tc>
      </w:tr>
      <w:tr>
        <w:tc>
          <w:tcPr>
            <w:tcW w:type="dxa" w:w="4896"/>
          </w:tcPr>
          <w:p>
            <w:pPr>
              <w:spacing w:after="0"/>
            </w:pPr>
            <w:r>
              <w:rPr>
                <w:sz w:val="16"/>
              </w:rPr>
            </w:r>
            <w:r>
              <w:rPr>
                <w:sz w:val="16"/>
              </w:rPr>
              <w:t>S13</w:t>
            </w:r>
          </w:p>
        </w:tc>
        <w:tc>
          <w:tcPr>
            <w:tcW w:type="dxa" w:w="4896"/>
          </w:tcPr>
          <w:p>
            <w:pPr>
              <w:spacing w:after="0"/>
            </w:pPr>
            <w:r>
              <w:rPr>
                <w:sz w:val="16"/>
              </w:rPr>
            </w:r>
            <w:r>
              <w:rPr>
                <w:sz w:val="16"/>
              </w:rPr>
              <w:t>UNSW-NB15 per-class metrics and split sensitivity</w:t>
            </w:r>
          </w:p>
        </w:tc>
      </w:tr>
      <w:tr>
        <w:tc>
          <w:tcPr>
            <w:tcW w:type="dxa" w:w="4896"/>
          </w:tcPr>
          <w:p>
            <w:pPr>
              <w:spacing w:after="0"/>
            </w:pPr>
            <w:r>
              <w:rPr>
                <w:sz w:val="16"/>
              </w:rPr>
            </w:r>
            <w:r>
              <w:rPr>
                <w:sz w:val="16"/>
              </w:rPr>
              <w:t>S14</w:t>
            </w:r>
          </w:p>
        </w:tc>
        <w:tc>
          <w:tcPr>
            <w:tcW w:type="dxa" w:w="4896"/>
          </w:tcPr>
          <w:p>
            <w:pPr>
              <w:spacing w:after="0"/>
            </w:pPr>
            <w:r>
              <w:rPr>
                <w:sz w:val="16"/>
              </w:rPr>
            </w:r>
            <w:r>
              <w:rPr>
                <w:sz w:val="16"/>
              </w:rPr>
              <w:t>Per-file results of the file-level extrapolation stress test</w:t>
            </w:r>
          </w:p>
        </w:tc>
      </w:tr>
      <w:tr>
        <w:tc>
          <w:tcPr>
            <w:tcW w:type="dxa" w:w="4896"/>
          </w:tcPr>
          <w:p>
            <w:pPr>
              <w:spacing w:after="0"/>
            </w:pPr>
            <w:r>
              <w:rPr>
                <w:sz w:val="16"/>
              </w:rPr>
            </w:r>
            <w:r>
              <w:rPr>
                <w:sz w:val="16"/>
              </w:rPr>
              <w:t>S15</w:t>
            </w:r>
          </w:p>
        </w:tc>
        <w:tc>
          <w:tcPr>
            <w:tcW w:type="dxa" w:w="4896"/>
          </w:tcPr>
          <w:p>
            <w:pPr>
              <w:spacing w:after="0"/>
            </w:pPr>
            <w:r>
              <w:rPr>
                <w:sz w:val="16"/>
              </w:rPr>
            </w:r>
            <w:r>
              <w:rPr>
                <w:sz w:val="16"/>
              </w:rPr>
              <w:t>Raw values for calibration curves, perturbation robustness and latency percentiles</w:t>
            </w:r>
          </w:p>
        </w:tc>
      </w:tr>
      <w:tr>
        <w:tc>
          <w:tcPr>
            <w:tcW w:type="dxa" w:w="4896"/>
          </w:tcPr>
          <w:p>
            <w:pPr>
              <w:spacing w:after="0"/>
            </w:pPr>
            <w:r>
              <w:rPr>
                <w:sz w:val="16"/>
              </w:rPr>
            </w:r>
            <w:r>
              <w:rPr>
                <w:sz w:val="16"/>
              </w:rPr>
              <w:t>S16</w:t>
            </w:r>
          </w:p>
        </w:tc>
        <w:tc>
          <w:tcPr>
            <w:tcW w:type="dxa" w:w="4896"/>
          </w:tcPr>
          <w:p>
            <w:pPr>
              <w:spacing w:after="0"/>
            </w:pPr>
            <w:r>
              <w:rPr>
                <w:sz w:val="16"/>
              </w:rPr>
            </w:r>
            <w:r>
              <w:rPr>
                <w:sz w:val="16"/>
              </w:rPr>
              <w:t>Gate hyper-parameter search over 108 configurations</w:t>
            </w:r>
          </w:p>
        </w:tc>
      </w:tr>
      <w:tr>
        <w:tc>
          <w:tcPr>
            <w:tcW w:type="dxa" w:w="4896"/>
          </w:tcPr>
          <w:p>
            <w:pPr>
              <w:spacing w:after="0"/>
            </w:pPr>
            <w:r>
              <w:rPr>
                <w:sz w:val="16"/>
              </w:rPr>
            </w:r>
            <w:r>
              <w:rPr>
                <w:sz w:val="16"/>
              </w:rPr>
              <w:t>S17</w:t>
            </w:r>
          </w:p>
        </w:tc>
        <w:tc>
          <w:tcPr>
            <w:tcW w:type="dxa" w:w="4896"/>
          </w:tcPr>
          <w:p>
            <w:pPr>
              <w:spacing w:after="0"/>
            </w:pPr>
            <w:r>
              <w:rPr>
                <w:sz w:val="16"/>
              </w:rPr>
            </w:r>
            <w:r>
              <w:rPr>
                <w:sz w:val="16"/>
              </w:rPr>
              <w:t>Margin-bound analysis per test row</w:t>
            </w:r>
          </w:p>
        </w:tc>
      </w:tr>
      <w:tr>
        <w:tc>
          <w:tcPr>
            <w:tcW w:type="dxa" w:w="4896"/>
          </w:tcPr>
          <w:p>
            <w:pPr>
              <w:spacing w:after="0"/>
            </w:pPr>
            <w:r>
              <w:rPr>
                <w:sz w:val="16"/>
              </w:rPr>
            </w:r>
            <w:r>
              <w:rPr>
                <w:sz w:val="16"/>
              </w:rPr>
              <w:t>S18</w:t>
            </w:r>
          </w:p>
        </w:tc>
        <w:tc>
          <w:tcPr>
            <w:tcW w:type="dxa" w:w="4896"/>
          </w:tcPr>
          <w:p>
            <w:pPr>
              <w:spacing w:after="0"/>
            </w:pPr>
            <w:r>
              <w:rPr>
                <w:sz w:val="16"/>
              </w:rPr>
            </w:r>
            <w:r>
              <w:rPr>
                <w:sz w:val="16"/>
              </w:rPr>
              <w:t>Expert-diversity suite (five expert families, three seeds)</w:t>
            </w:r>
          </w:p>
        </w:tc>
      </w:tr>
      <w:tr>
        <w:tc>
          <w:tcPr>
            <w:tcW w:type="dxa" w:w="4896"/>
          </w:tcPr>
          <w:p>
            <w:pPr>
              <w:spacing w:after="0"/>
            </w:pPr>
            <w:r>
              <w:rPr>
                <w:sz w:val="16"/>
              </w:rPr>
            </w:r>
            <w:r>
              <w:rPr>
                <w:sz w:val="16"/>
              </w:rPr>
              <w:t>S19</w:t>
            </w:r>
          </w:p>
        </w:tc>
        <w:tc>
          <w:tcPr>
            <w:tcW w:type="dxa" w:w="4896"/>
          </w:tcPr>
          <w:p>
            <w:pPr>
              <w:spacing w:after="0"/>
            </w:pPr>
            <w:r>
              <w:rPr>
                <w:sz w:val="16"/>
              </w:rPr>
            </w:r>
            <w:r>
              <w:rPr>
                <w:sz w:val="16"/>
              </w:rPr>
              <w:t>Neural-baseline results and the paired comparison against RCCF</w:t>
            </w:r>
          </w:p>
        </w:tc>
      </w:tr>
      <w:tr>
        <w:tc>
          <w:tcPr>
            <w:tcW w:type="dxa" w:w="4896"/>
          </w:tcPr>
          <w:p>
            <w:pPr>
              <w:spacing w:after="0"/>
            </w:pPr>
            <w:r>
              <w:rPr>
                <w:sz w:val="16"/>
              </w:rPr>
            </w:r>
            <w:r>
              <w:rPr>
                <w:sz w:val="16"/>
              </w:rPr>
              <w:t>S20</w:t>
            </w:r>
          </w:p>
        </w:tc>
        <w:tc>
          <w:tcPr>
            <w:tcW w:type="dxa" w:w="4896"/>
          </w:tcPr>
          <w:p>
            <w:pPr>
              <w:spacing w:after="0"/>
            </w:pPr>
            <w:r>
              <w:rPr>
                <w:sz w:val="16"/>
              </w:rPr>
            </w:r>
            <w:r>
              <w:rPr>
                <w:sz w:val="16"/>
              </w:rPr>
              <w:t>Ten-seed primary run, power analysis and standardised effect sizes</w:t>
            </w:r>
          </w:p>
        </w:tc>
      </w:tr>
      <w:tr>
        <w:tc>
          <w:tcPr>
            <w:tcW w:type="dxa" w:w="4896"/>
          </w:tcPr>
          <w:p>
            <w:pPr>
              <w:spacing w:after="0"/>
            </w:pPr>
            <w:r>
              <w:rPr>
                <w:sz w:val="16"/>
              </w:rPr>
            </w:r>
            <w:r>
              <w:rPr>
                <w:sz w:val="16"/>
              </w:rPr>
              <w:t>S21</w:t>
            </w:r>
          </w:p>
        </w:tc>
        <w:tc>
          <w:tcPr>
            <w:tcW w:type="dxa" w:w="4896"/>
          </w:tcPr>
          <w:p>
            <w:pPr>
              <w:spacing w:after="0"/>
            </w:pPr>
            <w:r>
              <w:rPr>
                <w:sz w:val="16"/>
              </w:rPr>
            </w:r>
            <w:r>
              <w:rPr>
                <w:sz w:val="16"/>
              </w:rPr>
              <w:t>Near-duplicate audit and sensitivity check</w:t>
            </w:r>
          </w:p>
        </w:tc>
      </w:tr>
      <w:tr>
        <w:tc>
          <w:tcPr>
            <w:tcW w:type="dxa" w:w="4896"/>
          </w:tcPr>
          <w:p>
            <w:pPr>
              <w:spacing w:after="0"/>
            </w:pPr>
            <w:r>
              <w:rPr>
                <w:sz w:val="16"/>
              </w:rPr>
            </w:r>
            <w:r>
              <w:rPr>
                <w:sz w:val="16"/>
              </w:rPr>
              <w:t>S22</w:t>
            </w:r>
          </w:p>
        </w:tc>
        <w:tc>
          <w:tcPr>
            <w:tcW w:type="dxa" w:w="4896"/>
          </w:tcPr>
          <w:p>
            <w:pPr>
              <w:spacing w:after="0"/>
            </w:pPr>
            <w:r>
              <w:rPr>
                <w:sz w:val="16"/>
              </w:rPr>
            </w:r>
            <w:r>
              <w:rPr>
                <w:sz w:val="16"/>
              </w:rPr>
              <w:t>Resource profile: model size, throughput and peak memory</w:t>
            </w:r>
          </w:p>
        </w:tc>
      </w:tr>
      <w:tr>
        <w:tc>
          <w:tcPr>
            <w:tcW w:type="dxa" w:w="4896"/>
          </w:tcPr>
          <w:p>
            <w:pPr>
              <w:spacing w:after="0"/>
            </w:pPr>
            <w:r>
              <w:rPr>
                <w:sz w:val="16"/>
              </w:rPr>
            </w:r>
            <w:r>
              <w:rPr>
                <w:sz w:val="16"/>
              </w:rPr>
              <w:t>S23</w:t>
            </w:r>
          </w:p>
        </w:tc>
        <w:tc>
          <w:tcPr>
            <w:tcW w:type="dxa" w:w="4896"/>
          </w:tcPr>
          <w:p>
            <w:pPr>
              <w:spacing w:after="0"/>
            </w:pPr>
            <w:r>
              <w:rPr>
                <w:sz w:val="16"/>
              </w:rPr>
            </w:r>
            <w:r>
              <w:rPr>
                <w:sz w:val="16"/>
              </w:rPr>
              <w:t>Cost-sensitive evaluation for false-negative to false-positive ratios 1 to 100</w:t>
            </w:r>
          </w:p>
        </w:tc>
      </w:tr>
      <w:tr>
        <w:tc>
          <w:tcPr>
            <w:tcW w:type="dxa" w:w="4896"/>
          </w:tcPr>
          <w:p>
            <w:pPr>
              <w:spacing w:after="0"/>
            </w:pPr>
            <w:r>
              <w:rPr>
                <w:sz w:val="16"/>
              </w:rPr>
            </w:r>
            <w:r>
              <w:rPr>
                <w:sz w:val="16"/>
              </w:rPr>
              <w:t>S24</w:t>
            </w:r>
          </w:p>
        </w:tc>
        <w:tc>
          <w:tcPr>
            <w:tcW w:type="dxa" w:w="4896"/>
          </w:tcPr>
          <w:p>
            <w:pPr>
              <w:spacing w:after="0"/>
            </w:pPr>
            <w:r>
              <w:rPr>
                <w:sz w:val="16"/>
              </w:rPr>
            </w:r>
            <w:r>
              <w:rPr>
                <w:sz w:val="16"/>
              </w:rPr>
              <w:t>Reference DOI verification record</w:t>
            </w:r>
          </w:p>
        </w:tc>
      </w:tr>
      <w:tr>
        <w:tc>
          <w:tcPr>
            <w:tcW w:type="dxa" w:w="4896"/>
          </w:tcPr>
          <w:p>
            <w:pPr>
              <w:spacing w:after="0"/>
            </w:pPr>
            <w:r>
              <w:rPr>
                <w:sz w:val="16"/>
              </w:rPr>
            </w:r>
            <w:r>
              <w:rPr>
                <w:sz w:val="16"/>
              </w:rPr>
              <w:t>S25</w:t>
            </w:r>
          </w:p>
        </w:tc>
        <w:tc>
          <w:tcPr>
            <w:tcW w:type="dxa" w:w="4896"/>
          </w:tcPr>
          <w:p>
            <w:pPr>
              <w:spacing w:after="0"/>
            </w:pPr>
            <w:r>
              <w:rPr>
                <w:sz w:val="16"/>
              </w:rPr>
            </w:r>
            <w:r>
              <w:rPr>
                <w:sz w:val="16"/>
              </w:rPr>
              <w:t>Dataset coverage matrix and quantitative verification of Condition 3</w:t>
            </w:r>
          </w:p>
        </w:tc>
      </w:tr>
      <w:tr>
        <w:tc>
          <w:tcPr>
            <w:tcW w:type="dxa" w:w="4896"/>
          </w:tcPr>
          <w:p>
            <w:pPr>
              <w:spacing w:after="0"/>
            </w:pPr>
            <w:r>
              <w:rPr>
                <w:sz w:val="16"/>
              </w:rPr>
            </w:r>
            <w:r>
              <w:rPr>
                <w:sz w:val="16"/>
              </w:rPr>
              <w:t>S26</w:t>
            </w:r>
          </w:p>
        </w:tc>
        <w:tc>
          <w:tcPr>
            <w:tcW w:type="dxa" w:w="4896"/>
          </w:tcPr>
          <w:p>
            <w:pPr>
              <w:spacing w:after="0"/>
            </w:pPr>
            <w:r>
              <w:rPr>
                <w:sz w:val="16"/>
              </w:rPr>
            </w:r>
            <w:r>
              <w:rPr>
                <w:sz w:val="16"/>
              </w:rPr>
              <w:t>Extended robustness: label noise, missing values and calibration drift</w:t>
            </w:r>
          </w:p>
        </w:tc>
      </w:tr>
    </w:tbl>
    <w:p>
      <w:pPr>
        <w:spacing w:after="40"/>
      </w:pP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