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协议敏感性主导模型选择：面向条件集成加权的泄漏受控网络入侵检测研究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一张把协议效应与模型效应分离的定量地图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校正，用于多重比较 [37]；（v）等价性检验（TOST）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对照</w:t>
            </w:r>
          </w:p>
        </w:tc>
        <w:tc>
          <w:tcPr>
            <w:tcW w:type="dxa" w:w="979"/>
          </w:tcPr>
          <w:p>
            <w:pPr>
              <w:spacing w:after="0"/>
            </w:pPr>
            <w:r>
              <w:rPr>
                <w:sz w:val="16"/>
              </w:rPr>
            </w:r>
            <w:r>
              <w:rPr>
                <w:b/>
                <w:sz w:val="16"/>
              </w:rPr>
              <w:t>平均差</w:t>
            </w:r>
          </w:p>
        </w:tc>
        <w:tc>
          <w:tcPr>
            <w:tcW w:type="dxa" w:w="979"/>
          </w:tcPr>
          <w:p>
            <w:pPr>
              <w:spacing w:after="0"/>
            </w:pPr>
            <w:r>
              <w:rPr>
                <w:sz w:val="16"/>
              </w:rPr>
            </w:r>
            <w:r>
              <w:rPr>
                <w:b/>
                <w:sz w:val="16"/>
              </w:rPr>
              <w:t>标准差</w:t>
            </w:r>
          </w:p>
        </w:tc>
        <w:tc>
          <w:tcPr>
            <w:tcW w:type="dxa" w:w="979"/>
          </w:tcPr>
          <w:p>
            <w:pPr>
              <w:spacing w:after="0"/>
            </w:pPr>
            <w:r>
              <w:rPr>
                <w:sz w:val="16"/>
              </w:rPr>
            </w:r>
            <w:r>
              <w:rPr>
                <w:b/>
                <w:sz w:val="16"/>
              </w:rPr>
              <w:t>种子级 95% 区间</w:t>
            </w:r>
          </w:p>
        </w:tc>
        <w:tc>
          <w:tcPr>
            <w:tcW w:type="dxa" w:w="979"/>
          </w:tcPr>
          <w:p>
            <w:pPr>
              <w:spacing w:after="0"/>
            </w:pPr>
            <w:r>
              <w:rPr>
                <w:sz w:val="16"/>
              </w:rPr>
            </w:r>
            <w:r>
              <w:rPr>
                <w:b/>
                <w:sz w:val="16"/>
              </w:rPr>
              <w:t>种子级 90% 区间</w:t>
            </w:r>
          </w:p>
        </w:tc>
        <w:tc>
          <w:tcPr>
            <w:tcW w:type="dxa" w:w="979"/>
          </w:tcPr>
          <w:p>
            <w:pPr>
              <w:spacing w:after="0"/>
            </w:pPr>
            <w:r>
              <w:rPr>
                <w:sz w:val="16"/>
              </w:rPr>
            </w:r>
            <w:r>
              <w:rPr>
                <w:b/>
                <w:sz w:val="16"/>
              </w:rPr>
              <w:t>SESOI = 0.005</w:t>
            </w:r>
          </w:p>
        </w:tc>
        <w:tc>
          <w:tcPr>
            <w:tcW w:type="dxa" w:w="979"/>
          </w:tcPr>
          <w:p>
            <w:pPr>
              <w:spacing w:after="0"/>
            </w:pPr>
            <w:r>
              <w:rPr>
                <w:sz w:val="16"/>
              </w:rPr>
            </w:r>
            <w:r>
              <w:rPr>
                <w:b/>
                <w:sz w:val="16"/>
              </w:rPr>
              <w:t>SESOI = 0.01</w:t>
            </w:r>
          </w:p>
        </w:tc>
        <w:tc>
          <w:tcPr>
            <w:tcW w:type="dxa" w:w="979"/>
          </w:tcPr>
          <w:p>
            <w:pPr>
              <w:spacing w:after="0"/>
            </w:pPr>
            <w:r>
              <w:rPr>
                <w:sz w:val="16"/>
              </w:rPr>
            </w:r>
            <w:r>
              <w:rPr>
                <w:b/>
                <w:sz w:val="16"/>
              </w:rPr>
              <w:t>最小可检出效应（80% 功效）</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支持 RCCF／基线的种子数</w:t>
            </w:r>
          </w:p>
        </w:tc>
      </w:tr>
      <w:tr>
        <w:tc>
          <w:tcPr>
            <w:tcW w:type="dxa" w:w="979"/>
          </w:tcPr>
          <w:p>
            <w:pPr>
              <w:spacing w:after="0"/>
            </w:pPr>
            <w:r>
              <w:rPr>
                <w:sz w:val="16"/>
              </w:rPr>
            </w:r>
            <w:r>
              <w:rPr>
                <w:sz w:val="16"/>
              </w:rPr>
              <w:t>RCCF − 等权 χ² 森林</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全特征等权森林</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极端随机树（χ²）</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不等价</w:t>
            </w:r>
          </w:p>
        </w:tc>
        <w:tc>
          <w:tcPr>
            <w:tcW w:type="dxa" w:w="979"/>
          </w:tcPr>
          <w:p>
            <w:pPr>
              <w:spacing w:after="0"/>
            </w:pPr>
            <w:r>
              <w:rPr>
                <w:sz w:val="16"/>
              </w:rPr>
            </w:r>
            <w:r>
              <w:rPr>
                <w:sz w:val="16"/>
              </w:rPr>
              <w:t>不等价</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RQ3：协议效应比模型效应大一个数量级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假设被证伪：协议不可交换，而且协议效应的量级压过模型效应。</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协议效应主导模型效应。</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报告什么协议比报告什么模型更能决定结论</w:t>
      </w:r>
      <w:r>
        <w:t>。</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v1.2.0，标签 v1.2.0）。原始数据集不随论文分发；论文记录来源地址、检索日期、版本快照与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 xml:space="preserve">说明：以下条目与英文稿完全一致，以保证 </w:t>
      </w:r>
      <w:r>
        <w:rPr>
          <w:rFonts w:ascii="Consolas" w:hAnsi="Consolas"/>
        </w:rPr>
        <w:t>[n]</w:t>
      </w:r>
      <w:r>
        <w:t xml:space="preserve"> 编号在两版中指向同一文献。标注 [DOI 待核验] 的条目需在投稿前用 Crossref 或出版社页面逐条核对。</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