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Model Choice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model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for multiple comparisons [37];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chi2,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w:t>
      </w:r>
    </w:p>
    <w:p>
      <w:r>
        <w:rPr>
          <w:b/>
        </w:rPr>
        <w:t>Condition 3 (weight collapse).</w:t>
      </w:r>
      <w:r>
        <w:t xml:space="preserve"> If the risk models return approximately equal values, r_e(x) approximately c(x) for all e, then w_e(x) approximately 1/Q and conditional weighting degenerates to equal averaging. The observable criterion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in order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pPr>
              <w:spacing w:after="0"/>
            </w:pPr>
            <w:r>
              <w:rPr>
                <w:sz w:val="16"/>
              </w:rPr>
            </w:r>
            <w:r>
              <w:rPr>
                <w:b/>
                <w:sz w:val="16"/>
              </w:rPr>
              <w:t>Comparison</w:t>
            </w:r>
          </w:p>
        </w:tc>
        <w:tc>
          <w:tcPr>
            <w:tcW w:type="dxa" w:w="979"/>
          </w:tcPr>
          <w:p>
            <w:pPr>
              <w:spacing w:after="0"/>
            </w:pPr>
            <w:r>
              <w:rPr>
                <w:sz w:val="16"/>
              </w:rPr>
            </w:r>
            <w:r>
              <w:rPr>
                <w:b/>
                <w:sz w:val="16"/>
              </w:rPr>
              <w:t>Mean difference</w:t>
            </w:r>
          </w:p>
        </w:tc>
        <w:tc>
          <w:tcPr>
            <w:tcW w:type="dxa" w:w="979"/>
          </w:tcPr>
          <w:p>
            <w:pPr>
              <w:spacing w:after="0"/>
            </w:pPr>
            <w:r>
              <w:rPr>
                <w:sz w:val="16"/>
              </w:rPr>
            </w:r>
            <w:r>
              <w:rPr>
                <w:b/>
                <w:sz w:val="16"/>
              </w:rPr>
              <w:t>SD</w:t>
            </w:r>
          </w:p>
        </w:tc>
        <w:tc>
          <w:tcPr>
            <w:tcW w:type="dxa" w:w="979"/>
          </w:tcPr>
          <w:p>
            <w:pPr>
              <w:spacing w:after="0"/>
            </w:pPr>
            <w:r>
              <w:rPr>
                <w:sz w:val="16"/>
              </w:rPr>
            </w:r>
            <w:r>
              <w:rPr>
                <w:b/>
                <w:sz w:val="16"/>
              </w:rPr>
              <w:t>Seed-level 95% interval</w:t>
            </w:r>
          </w:p>
        </w:tc>
        <w:tc>
          <w:tcPr>
            <w:tcW w:type="dxa" w:w="979"/>
          </w:tcPr>
          <w:p>
            <w:pPr>
              <w:spacing w:after="0"/>
            </w:pPr>
            <w:r>
              <w:rPr>
                <w:sz w:val="16"/>
              </w:rPr>
            </w:r>
            <w:r>
              <w:rPr>
                <w:b/>
                <w:sz w:val="16"/>
              </w:rPr>
              <w:t>Seed-level 90% interval</w:t>
            </w:r>
          </w:p>
        </w:tc>
        <w:tc>
          <w:tcPr>
            <w:tcW w:type="dxa" w:w="979"/>
          </w:tcPr>
          <w:p>
            <w:pPr>
              <w:spacing w:after="0"/>
            </w:pPr>
            <w:r>
              <w:rPr>
                <w:sz w:val="16"/>
              </w:rPr>
            </w:r>
            <w:r>
              <w:rPr>
                <w:b/>
                <w:sz w:val="16"/>
              </w:rPr>
              <w:t>TOST at 0.005</w:t>
            </w:r>
          </w:p>
        </w:tc>
        <w:tc>
          <w:tcPr>
            <w:tcW w:type="dxa" w:w="979"/>
          </w:tcPr>
          <w:p>
            <w:pPr>
              <w:spacing w:after="0"/>
            </w:pPr>
            <w:r>
              <w:rPr>
                <w:sz w:val="16"/>
              </w:rPr>
            </w:r>
            <w:r>
              <w:rPr>
                <w:b/>
                <w:sz w:val="16"/>
              </w:rPr>
              <w:t>TOST at 0.01</w:t>
            </w:r>
          </w:p>
        </w:tc>
        <w:tc>
          <w:tcPr>
            <w:tcW w:type="dxa" w:w="979"/>
          </w:tcPr>
          <w:p>
            <w:pPr>
              <w:spacing w:after="0"/>
            </w:pPr>
            <w:r>
              <w:rPr>
                <w:sz w:val="16"/>
              </w:rPr>
            </w:r>
            <w:r>
              <w:rPr>
                <w:b/>
                <w:sz w:val="16"/>
              </w:rPr>
              <w:t>Minimum detectable effect (80% power)</w:t>
            </w:r>
          </w:p>
        </w:tc>
        <w:tc>
          <w:tcPr>
            <w:tcW w:type="dxa" w:w="979"/>
          </w:tcPr>
          <w:p>
            <w:pPr>
              <w:spacing w:after="0"/>
            </w:pPr>
            <w:r>
              <w:rPr>
                <w:sz w:val="16"/>
              </w:rPr>
            </w:r>
            <w:r>
              <w:rPr>
                <w:b/>
                <w:sz w:val="16"/>
              </w:rPr>
              <w:t>Cohen's d_z</w:t>
            </w:r>
          </w:p>
        </w:tc>
        <w:tc>
          <w:tcPr>
            <w:tcW w:type="dxa" w:w="979"/>
          </w:tcPr>
          <w:p>
            <w:pPr>
              <w:spacing w:after="0"/>
            </w:pPr>
            <w:r>
              <w:rPr>
                <w:sz w:val="16"/>
              </w:rPr>
            </w:r>
            <w:r>
              <w:rPr>
                <w:b/>
                <w:sz w:val="16"/>
              </w:rPr>
              <w:t>Seeds favouring RCCF / baseline</w:t>
            </w:r>
          </w:p>
        </w:tc>
      </w:tr>
      <w:tr>
        <w:tc>
          <w:tcPr>
            <w:tcW w:type="dxa" w:w="979"/>
          </w:tcPr>
          <w:p>
            <w:pPr>
              <w:spacing w:after="0"/>
            </w:pPr>
            <w:r>
              <w:rPr>
                <w:sz w:val="16"/>
              </w:rPr>
            </w:r>
            <w:r>
              <w:rPr>
                <w:sz w:val="16"/>
              </w:rPr>
              <w:t>RCCF - equal RF (chi-square)</w:t>
            </w:r>
          </w:p>
        </w:tc>
        <w:tc>
          <w:tcPr>
            <w:tcW w:type="dxa" w:w="979"/>
          </w:tcPr>
          <w:p>
            <w:pPr>
              <w:spacing w:after="0"/>
            </w:pPr>
            <w:r>
              <w:rPr>
                <w:sz w:val="16"/>
              </w:rPr>
            </w:r>
            <w:r>
              <w:rPr>
                <w:sz w:val="16"/>
              </w:rPr>
              <w:t>-0.000456</w:t>
            </w:r>
          </w:p>
        </w:tc>
        <w:tc>
          <w:tcPr>
            <w:tcW w:type="dxa" w:w="979"/>
          </w:tcPr>
          <w:p>
            <w:pPr>
              <w:spacing w:after="0"/>
            </w:pPr>
            <w:r>
              <w:rPr>
                <w:sz w:val="16"/>
              </w:rPr>
            </w:r>
            <w:r>
              <w:rPr>
                <w:sz w:val="16"/>
              </w:rPr>
              <w:t>0.001152</w:t>
            </w:r>
          </w:p>
        </w:tc>
        <w:tc>
          <w:tcPr>
            <w:tcW w:type="dxa" w:w="979"/>
          </w:tcPr>
          <w:p>
            <w:pPr>
              <w:spacing w:after="0"/>
            </w:pPr>
            <w:r>
              <w:rPr>
                <w:sz w:val="16"/>
              </w:rPr>
            </w:r>
            <w:r>
              <w:rPr>
                <w:sz w:val="16"/>
              </w:rPr>
              <w:t>[-0.001280, +0.000368]</w:t>
            </w:r>
          </w:p>
        </w:tc>
        <w:tc>
          <w:tcPr>
            <w:tcW w:type="dxa" w:w="979"/>
          </w:tcPr>
          <w:p>
            <w:pPr>
              <w:spacing w:after="0"/>
            </w:pPr>
            <w:r>
              <w:rPr>
                <w:sz w:val="16"/>
              </w:rPr>
            </w:r>
            <w:r>
              <w:rPr>
                <w:sz w:val="16"/>
              </w:rPr>
              <w:t>[-0.001124, +0.000212]</w:t>
            </w:r>
          </w:p>
        </w:tc>
        <w:tc>
          <w:tcPr>
            <w:tcW w:type="dxa" w:w="979"/>
          </w:tcPr>
          <w:p>
            <w:pPr>
              <w:spacing w:after="0"/>
            </w:pPr>
            <w:r>
              <w:rPr>
                <w:sz w:val="16"/>
              </w:rPr>
            </w:r>
            <w:r>
              <w:rPr>
                <w:sz w:val="16"/>
              </w:rPr>
              <w:t>equivalent</w:t>
            </w:r>
          </w:p>
        </w:tc>
        <w:tc>
          <w:tcPr>
            <w:tcW w:type="dxa" w:w="979"/>
          </w:tcPr>
          <w:p>
            <w:pPr>
              <w:spacing w:after="0"/>
            </w:pPr>
            <w:r>
              <w:rPr>
                <w:sz w:val="16"/>
              </w:rPr>
            </w:r>
            <w:r>
              <w:rPr>
                <w:sz w:val="16"/>
              </w:rPr>
              <w:t>equivalent</w:t>
            </w:r>
          </w:p>
        </w:tc>
        <w:tc>
          <w:tcPr>
            <w:tcW w:type="dxa" w:w="979"/>
          </w:tcPr>
          <w:p>
            <w:pPr>
              <w:spacing w:after="0"/>
            </w:pPr>
            <w:r>
              <w:rPr>
                <w:sz w:val="16"/>
              </w:rPr>
            </w:r>
            <w:r>
              <w:rPr>
                <w:sz w:val="16"/>
              </w:rPr>
              <w:t>0.001146</w:t>
            </w:r>
          </w:p>
        </w:tc>
        <w:tc>
          <w:tcPr>
            <w:tcW w:type="dxa" w:w="979"/>
          </w:tcPr>
          <w:p>
            <w:pPr>
              <w:spacing w:after="0"/>
            </w:pPr>
            <w:r>
              <w:rPr>
                <w:sz w:val="16"/>
              </w:rPr>
            </w:r>
            <w:r>
              <w:rPr>
                <w:sz w:val="16"/>
              </w:rPr>
              <w:t>-0.40</w:t>
            </w:r>
          </w:p>
        </w:tc>
        <w:tc>
          <w:tcPr>
            <w:tcW w:type="dxa" w:w="979"/>
          </w:tcPr>
          <w:p>
            <w:pPr>
              <w:spacing w:after="0"/>
            </w:pPr>
            <w:r>
              <w:rPr>
                <w:sz w:val="16"/>
              </w:rPr>
            </w:r>
            <w:r>
              <w:rPr>
                <w:sz w:val="16"/>
              </w:rPr>
              <w:t>5 / 5</w:t>
            </w:r>
          </w:p>
        </w:tc>
      </w:tr>
      <w:tr>
        <w:tc>
          <w:tcPr>
            <w:tcW w:type="dxa" w:w="979"/>
          </w:tcPr>
          <w:p>
            <w:pPr>
              <w:spacing w:after="0"/>
            </w:pPr>
            <w:r>
              <w:rPr>
                <w:sz w:val="16"/>
              </w:rPr>
            </w:r>
            <w:r>
              <w:rPr>
                <w:sz w:val="16"/>
              </w:rPr>
              <w:t>RCCF - equal RF (all features)</w:t>
            </w:r>
          </w:p>
        </w:tc>
        <w:tc>
          <w:tcPr>
            <w:tcW w:type="dxa" w:w="979"/>
          </w:tcPr>
          <w:p>
            <w:pPr>
              <w:spacing w:after="0"/>
            </w:pPr>
            <w:r>
              <w:rPr>
                <w:sz w:val="16"/>
              </w:rPr>
            </w:r>
            <w:r>
              <w:rPr>
                <w:sz w:val="16"/>
              </w:rPr>
              <w:t>+0.001613</w:t>
            </w:r>
          </w:p>
        </w:tc>
        <w:tc>
          <w:tcPr>
            <w:tcW w:type="dxa" w:w="979"/>
          </w:tcPr>
          <w:p>
            <w:pPr>
              <w:spacing w:after="0"/>
            </w:pPr>
            <w:r>
              <w:rPr>
                <w:sz w:val="16"/>
              </w:rPr>
            </w:r>
            <w:r>
              <w:rPr>
                <w:sz w:val="16"/>
              </w:rPr>
              <w:t>0.001376</w:t>
            </w:r>
          </w:p>
        </w:tc>
        <w:tc>
          <w:tcPr>
            <w:tcW w:type="dxa" w:w="979"/>
          </w:tcPr>
          <w:p>
            <w:pPr>
              <w:spacing w:after="0"/>
            </w:pPr>
            <w:r>
              <w:rPr>
                <w:sz w:val="16"/>
              </w:rPr>
            </w:r>
            <w:r>
              <w:rPr>
                <w:sz w:val="16"/>
              </w:rPr>
              <w:t>[+0.000628, +0.002597]</w:t>
            </w:r>
          </w:p>
        </w:tc>
        <w:tc>
          <w:tcPr>
            <w:tcW w:type="dxa" w:w="979"/>
          </w:tcPr>
          <w:p>
            <w:pPr>
              <w:spacing w:after="0"/>
            </w:pPr>
            <w:r>
              <w:rPr>
                <w:sz w:val="16"/>
              </w:rPr>
            </w:r>
            <w:r>
              <w:rPr>
                <w:sz w:val="16"/>
              </w:rPr>
              <w:t>[+0.000815, +0.002410]</w:t>
            </w:r>
          </w:p>
        </w:tc>
        <w:tc>
          <w:tcPr>
            <w:tcW w:type="dxa" w:w="979"/>
          </w:tcPr>
          <w:p>
            <w:pPr>
              <w:spacing w:after="0"/>
            </w:pPr>
            <w:r>
              <w:rPr>
                <w:sz w:val="16"/>
              </w:rPr>
            </w:r>
            <w:r>
              <w:rPr>
                <w:sz w:val="16"/>
              </w:rPr>
              <w:t>equivalent</w:t>
            </w:r>
          </w:p>
        </w:tc>
        <w:tc>
          <w:tcPr>
            <w:tcW w:type="dxa" w:w="979"/>
          </w:tcPr>
          <w:p>
            <w:pPr>
              <w:spacing w:after="0"/>
            </w:pPr>
            <w:r>
              <w:rPr>
                <w:sz w:val="16"/>
              </w:rPr>
            </w:r>
            <w:r>
              <w:rPr>
                <w:sz w:val="16"/>
              </w:rPr>
              <w:t>equivalent</w:t>
            </w:r>
          </w:p>
        </w:tc>
        <w:tc>
          <w:tcPr>
            <w:tcW w:type="dxa" w:w="979"/>
          </w:tcPr>
          <w:p>
            <w:pPr>
              <w:spacing w:after="0"/>
            </w:pPr>
            <w:r>
              <w:rPr>
                <w:sz w:val="16"/>
              </w:rPr>
            </w:r>
            <w:r>
              <w:rPr>
                <w:sz w:val="16"/>
              </w:rPr>
              <w:t>0.001369</w:t>
            </w:r>
          </w:p>
        </w:tc>
        <w:tc>
          <w:tcPr>
            <w:tcW w:type="dxa" w:w="979"/>
          </w:tcPr>
          <w:p>
            <w:pPr>
              <w:spacing w:after="0"/>
            </w:pPr>
            <w:r>
              <w:rPr>
                <w:sz w:val="16"/>
              </w:rPr>
            </w:r>
            <w:r>
              <w:rPr>
                <w:sz w:val="16"/>
              </w:rPr>
              <w:t>+1.17</w:t>
            </w:r>
          </w:p>
        </w:tc>
        <w:tc>
          <w:tcPr>
            <w:tcW w:type="dxa" w:w="979"/>
          </w:tcPr>
          <w:p>
            <w:pPr>
              <w:spacing w:after="0"/>
            </w:pPr>
            <w:r>
              <w:rPr>
                <w:sz w:val="16"/>
              </w:rPr>
            </w:r>
            <w:r>
              <w:rPr>
                <w:sz w:val="16"/>
              </w:rPr>
              <w:t>9 / 1</w:t>
            </w:r>
          </w:p>
        </w:tc>
      </w:tr>
      <w:tr>
        <w:tc>
          <w:tcPr>
            <w:tcW w:type="dxa" w:w="979"/>
          </w:tcPr>
          <w:p>
            <w:pPr>
              <w:spacing w:after="0"/>
            </w:pPr>
            <w:r>
              <w:rPr>
                <w:sz w:val="16"/>
              </w:rPr>
            </w:r>
            <w:r>
              <w:rPr>
                <w:sz w:val="16"/>
              </w:rPr>
              <w:t>RCCF - ExtraTrees (chi-square)</w:t>
            </w:r>
          </w:p>
        </w:tc>
        <w:tc>
          <w:tcPr>
            <w:tcW w:type="dxa" w:w="979"/>
          </w:tcPr>
          <w:p>
            <w:pPr>
              <w:spacing w:after="0"/>
            </w:pPr>
            <w:r>
              <w:rPr>
                <w:sz w:val="16"/>
              </w:rPr>
            </w:r>
            <w:r>
              <w:rPr>
                <w:sz w:val="16"/>
              </w:rPr>
              <w:t>+0.031788</w:t>
            </w:r>
          </w:p>
        </w:tc>
        <w:tc>
          <w:tcPr>
            <w:tcW w:type="dxa" w:w="979"/>
          </w:tcPr>
          <w:p>
            <w:pPr>
              <w:spacing w:after="0"/>
            </w:pPr>
            <w:r>
              <w:rPr>
                <w:sz w:val="16"/>
              </w:rPr>
            </w:r>
            <w:r>
              <w:rPr>
                <w:sz w:val="16"/>
              </w:rPr>
              <w:t>0.001616</w:t>
            </w:r>
          </w:p>
        </w:tc>
        <w:tc>
          <w:tcPr>
            <w:tcW w:type="dxa" w:w="979"/>
          </w:tcPr>
          <w:p>
            <w:pPr>
              <w:spacing w:after="0"/>
            </w:pPr>
            <w:r>
              <w:rPr>
                <w:sz w:val="16"/>
              </w:rPr>
            </w:r>
            <w:r>
              <w:rPr>
                <w:sz w:val="16"/>
              </w:rPr>
              <w:t>[+0.030632, +0.032944]</w:t>
            </w:r>
          </w:p>
        </w:tc>
        <w:tc>
          <w:tcPr>
            <w:tcW w:type="dxa" w:w="979"/>
          </w:tcPr>
          <w:p>
            <w:pPr>
              <w:spacing w:after="0"/>
            </w:pPr>
            <w:r>
              <w:rPr>
                <w:sz w:val="16"/>
              </w:rPr>
            </w:r>
            <w:r>
              <w:rPr>
                <w:sz w:val="16"/>
              </w:rPr>
              <w:t>[+0.030851, +0.032724]</w:t>
            </w:r>
          </w:p>
        </w:tc>
        <w:tc>
          <w:tcPr>
            <w:tcW w:type="dxa" w:w="979"/>
          </w:tcPr>
          <w:p>
            <w:pPr>
              <w:spacing w:after="0"/>
            </w:pPr>
            <w:r>
              <w:rPr>
                <w:sz w:val="16"/>
              </w:rPr>
            </w:r>
            <w:r>
              <w:rPr>
                <w:sz w:val="16"/>
              </w:rPr>
              <w:t>not equivalent</w:t>
            </w:r>
          </w:p>
        </w:tc>
        <w:tc>
          <w:tcPr>
            <w:tcW w:type="dxa" w:w="979"/>
          </w:tcPr>
          <w:p>
            <w:pPr>
              <w:spacing w:after="0"/>
            </w:pPr>
            <w:r>
              <w:rPr>
                <w:sz w:val="16"/>
              </w:rPr>
            </w:r>
            <w:r>
              <w:rPr>
                <w:sz w:val="16"/>
              </w:rPr>
              <w:t>not equivalent</w:t>
            </w:r>
          </w:p>
        </w:tc>
        <w:tc>
          <w:tcPr>
            <w:tcW w:type="dxa" w:w="979"/>
          </w:tcPr>
          <w:p>
            <w:pPr>
              <w:spacing w:after="0"/>
            </w:pPr>
            <w:r>
              <w:rPr>
                <w:sz w:val="16"/>
              </w:rPr>
            </w:r>
            <w:r>
              <w:rPr>
                <w:sz w:val="16"/>
              </w:rPr>
              <w:t>0.001607</w:t>
            </w:r>
          </w:p>
        </w:tc>
        <w:tc>
          <w:tcPr>
            <w:tcW w:type="dxa" w:w="979"/>
          </w:tcPr>
          <w:p>
            <w:pPr>
              <w:spacing w:after="0"/>
            </w:pPr>
            <w:r>
              <w:rPr>
                <w:sz w:val="16"/>
              </w:rPr>
            </w:r>
            <w:r>
              <w:rPr>
                <w:sz w:val="16"/>
              </w:rPr>
              <w:t>+19.68</w:t>
            </w:r>
          </w:p>
        </w:tc>
        <w:tc>
          <w:tcPr>
            <w:tcW w:type="dxa" w:w="979"/>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 on flow-feature data, "multi-view" experts built from different filter selectors disagree on only 0.2%-0.4% of samples, so the gate is structurally incapable of producing a gain.</w:t>
      </w:r>
      <w:r>
        <w:t xml:space="preserve">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model effects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outweigh model effects.</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model is used.</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v1.2.0, tag v1.2.0).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entries marked [DOI to verify] must be checked against Crossref or the publisher page before submission.</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