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扩展语料（第 5.8 节，十项）</w:t>
      </w:r>
    </w:p>
    <w:p>
      <w:r>
        <w:t xml:space="preserve">这十项与上面四项一样，都在同一套处理与评估协议下运行，只是只用于扩展实验。原始文件与获取清单保存在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>、</w:t>
      </w:r>
      <w:r>
        <w:rPr>
          <w:rFonts w:ascii="Consolas" w:hAnsi="Consolas"/>
        </w:rPr>
        <w:t>scripts/fetch_gotham2025_v1.py</w:t>
      </w:r>
      <w:r>
        <w:t xml:space="preserve"> 重新取得，并与下表的校验值逐字节核对。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14502760（Gotham 测试床，78 台 IoT 设备，CC BY 4.0）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23825.0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7ca78c0517ccb3d2…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</w:tbl>
    <w:p>
      <w:pPr>
        <w:spacing w:after="40"/>
      </w:pPr>
    </w:p>
    <w:p>
      <w:r>
        <w:rPr>
          <w:b/>
        </w:rPr>
        <w:t>候选语料与获取状态（2025 年检索）。</w:t>
      </w:r>
      <w:r>
        <w:t xml:space="preserve"> 为回应「语料年代」的质疑，本文另检索了下列更晚发布的候选数据集；它们</w:t>
      </w:r>
      <w:r>
        <w:rPr>
          <w:b/>
        </w:rPr>
        <w:t>尚未进入正文结果</w:t>
      </w:r>
      <w:r>
        <w:t>，此处登记的是检索与获取状态，以免读者以为作者没有检索过：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获取方式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HybRID-18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Sadhana 50:272（Indian Academy of Sciences）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需向作者索取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未公开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论文未附公开仓库、DOI 或校验值，无法核对版本与字节，不满足逐字节复现要求。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CICAPT-IIoT 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CIC（APT 溯源日志 + 网络流量）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经 CIC 在线申请表发放，需提交个人与机构信息；本机无授权下载入口。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DataSense CIC IIoT 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CIC（Electronics 14:4095）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下载表单发放；任务设定为传感器基准，与流特征分类协议不可直接比较。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（885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