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按样本估计的可靠性权重对多个随机森林专家做条件加权融合（RCCF），能否稳定优于等权投票。在统一的泄漏受控协议下，我们用 CIC-IDS2017 构造 53 237 条自然先验总体与 3 365 条平衡控制总体，并以 NSL-KDD 与 UNSW-NB15 作为独立原生标签基准，在十个种子上比较四种特征视图。自然先验协议上，二者 Macro-F1 平均差为 −0.000456，逐种子方向五正五负；种子级 90% 区间 [−0.00112, +0.00021] 与测试行级配对 Bootstrap 区间 [−0.00425, +0.00338] 均落在 0.005 与 0.01 的等价边界内。四个专家在测试集上无任何预测分歧，权重归一化熵为 0.99998；类别先验与去重顺序分别带来 +0.0725 与至多 +0.0060 的变化。我们给出三个可辨识性条件，并把其中之一化为可逐行计算的判据：23 958 条测试样本中 99.91% 可证明不受权重影响，决策边距中位数为扰动上界的 3469 至 5038 倍。108 种门控配置只产生 6 个不同的验证集取值，排除了调参不足；增益受专家多样性支配（斜率 0.0646，r = 0.749）。该机制体积是单个等权森林的 4.1 倍、吞吐低 4.6 倍，在 1:1 至 100:1 的代价比下没有代价敏感优势。本文的贡献在于一套可复用的泄漏受控协议、一组可辨识性边界，以及一张把协议效应与聚合规则差异分开量化的地图；证据不支持算法优越性或生产可用性的主张。</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numPr>
          <w:ilvl w:val="0"/>
          <w:numId w:val="10"/>
        </w:numP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numPr>
          <w:ilvl w:val="0"/>
          <w:numId w:val="10"/>
        </w:numPr>
      </w:pPr>
      <w:r>
        <w:rPr>
          <w:b/>
        </w:rPr>
        <w:t>一张把协议效应与聚合规则差异分离的定量地图</w:t>
      </w:r>
      <w:r>
        <w:t>。我们在同一批数据上测量五类差异来源并给出量级：聚合规则（0.0005）、特征视图（+0.0021）、去重顺序（至多 +0.0060）、调参预算（+0.0078）与类别先验（+0.0725）；文件外推跨度为 0.33–1.00。结论是协议效应比聚合规则差异高出一个数量级。</w:t>
      </w:r>
    </w:p>
    <w:p>
      <w:pPr>
        <w:pStyle w:val="ListNumber"/>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为把"类别不平衡造成的困难"与"聚合规则的差异"分开，另取每类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由于标签体系互不相容，三者的分数在本文中从不合并或平均，也从不被解释为迁移成功的证据。它们的作用是压力测试：如果某个结论只在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numPr>
          <w:ilvl w:val="0"/>
          <w:numId w:val="11"/>
        </w:numP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numPr>
          <w:ilvl w:val="0"/>
          <w:numId w:val="11"/>
        </w:numPr>
      </w:pPr>
      <w:r>
        <w:rPr>
          <w:b/>
        </w:rPr>
        <w:t>变换只在训练侧拟合。</w:t>
      </w:r>
      <w:r>
        <w:t xml:space="preserve"> 标准化器、卡方/互信息/方差分析选择器均在训练分区内拟合，并作为流水线的一部分保存，验证与测试分区只做变换不做拟合。</w:t>
      </w:r>
    </w:p>
    <w:p>
      <w:pPr>
        <w:pStyle w:val="ListNumber"/>
        <w:numPr>
          <w:ilvl w:val="0"/>
          <w:numId w:val="11"/>
        </w:numPr>
      </w:pPr>
      <w:r>
        <w:rPr>
          <w:b/>
        </w:rPr>
        <w:t>交叉拟合的风险模型。</w:t>
      </w:r>
      <w:r>
        <w:t xml:space="preserve"> 条件加权的风险模型使用 K 折交叉拟合的折外概率作为输入，折内选择器重新拟合，避免用同一批数据同时训练专家与估计专家可靠性。</w:t>
      </w:r>
    </w:p>
    <w:p>
      <w:pPr>
        <w:pStyle w:val="ListNumber"/>
        <w:numPr>
          <w:ilvl w:val="0"/>
          <w:numId w:val="11"/>
        </w:numPr>
      </w:pPr>
      <w:r>
        <w:rPr>
          <w:b/>
        </w:rPr>
        <w:t>验证集只用于校准。</w:t>
      </w:r>
      <w:r>
        <w:t xml:space="preserve"> 温度缩放参数与蒙德里安保形阈值只在验证分区上估计，不使用测试标签。</w:t>
      </w:r>
    </w:p>
    <w:p>
      <w:pPr>
        <w:pStyle w:val="ListNumber"/>
        <w:numPr>
          <w:ilvl w:val="0"/>
          <w:numId w:val="11"/>
        </w:numP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r>
        <w:t>逐原始文件处理计数、类别支持数与四种特征视图的训练侧特征得分见补充材料 S01–S04。</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折交叉拟合得到每个专家的折外概率，并从中提取三个描述子：置信度（最大类概率）、归一化熵（预测不确定性）、以及前两类的概率边距。这些描述子只使用训练分区内的袋外预测，不接触验证与测试标签。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e，用其折外概率与描述子拟合一个逻辑回归风险模型 r_e(x)。风险值越高，表示该专家在类似样本上越不可靠。</w:t>
      </w:r>
    </w:p>
    <w:p>
      <w:r>
        <w:rPr>
          <w:b/>
        </w:rPr>
        <w:t>第三步，条件加权与校准。</w:t>
      </w:r>
      <w:r>
        <w:t xml:space="preserve"> 融合权重与融合后验由式(1)给出：</w:t>
      </w:r>
    </w:p>
    <w:p>
      <w:pPr>
        <w:jc w:val="center"/>
      </w:pPr>
      <w:r>
        <w:rPr>
          <w:rFonts w:ascii="Cambria Math" w:hAnsi="Cambria Math"/>
          <w:sz w:val="22"/>
        </w:rPr>
        <w:t>w_e(x)=\frac{\exp[-r_e(x)]}{\sum_{j=1}^{Q}\exp[-r_j(x)]},\qquad p(y\mid x)=\sum_{e=1}^{Q} w_e(x)\,p_e(y\mid x).  (1)</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χ²,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预测被留出的折，保存折外概率与不确定性描述子。</w:t>
      </w:r>
    </w:p>
    <w:p>
      <w:pPr>
        <w:spacing w:after="0" w:line="240" w:lineRule="auto"/>
      </w:pPr>
      <w:r>
        <w:rPr>
          <w:rFonts w:ascii="Consolas" w:hAnsi="Consolas"/>
          <w:sz w:val="17"/>
        </w:rPr>
        <w:t>3. 用完整折外表为每个视图拟合一个逻辑回归风险模型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），融合后验的位移不超过式(2)的上界：</w:t>
      </w:r>
    </w:p>
    <w:p>
      <w:pPr>
        <w:jc w:val="center"/>
      </w:pPr>
      <w:r>
        <w:rPr>
          <w:rFonts w:ascii="Cambria Math" w:hAnsi="Cambria Math"/>
          <w:sz w:val="22"/>
        </w:rPr>
        <w:t>\left\|p_w-\bar p\right\|_1\ \le\ \sum_{e=1}^{Q}\left|w_e-\frac{1}{Q}\right|\ =:\ \Delta(x).  (2)</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  (3)</w:t>
      </w:r>
    </w:p>
    <w:p>
      <w:r>
        <w:t>以及对 softmax 做一阶展开得到的更简关系</w:t>
      </w:r>
    </w:p>
    <w:p>
      <w:pPr>
        <w:jc w:val="center"/>
      </w:pPr>
      <w:r>
        <w:rPr>
          <w:rFonts w:ascii="Cambria Math" w:hAnsi="Cambria Math"/>
          <w:sz w:val="22"/>
        </w:rPr>
        <w:t>1-H_{norm}(w)\ \approx\ \frac{\mathrm{Var}(\delta)}{2\log Q}.  (4)</w:t>
      </w:r>
    </w:p>
    <w:p>
      <w: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jc w:val="center"/>
      </w:pPr>
      <w:r>
        <w:rPr>
          <w:rFonts w:ascii="Cambria Math" w:hAnsi="Cambria Math"/>
          <w:sz w:val="22"/>
        </w:rPr>
        <w:t>H_{norm}(x)=-\frac{1}{\log Q}\sum_{e=1}^{Q} w_e(x)\log w_e(x).  (5)</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r>
        <w:t>逐行边距上界与命题 3 的定量验证见补充材料 S17 与 S25。</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numPr>
          <w:ilvl w:val="0"/>
          <w:numId w:val="14"/>
        </w:numPr>
      </w:pPr>
      <w:r>
        <w:rPr>
          <w:b/>
        </w:rPr>
        <w:t>等权对照</w:t>
      </w:r>
      <w:r>
        <w:t>：同一特征视图、同一树数、同一随机种子的等权随机森林。这是 H2 的直接对照。</w:t>
      </w:r>
    </w:p>
    <w:p>
      <w:pPr>
        <w:pStyle w:val="ListNumber"/>
        <w:numPr>
          <w:ilvl w:val="0"/>
          <w:numId w:val="14"/>
        </w:numPr>
      </w:pPr>
      <w:r>
        <w:rPr>
          <w:b/>
        </w:rPr>
        <w:t>特征视图对照</w:t>
      </w:r>
      <w:r>
        <w:t>：全特征、卡方、互信息、方差分析四种视图的等权版本，用于回答 RQ1。</w:t>
      </w:r>
    </w:p>
    <w:p>
      <w:pPr>
        <w:pStyle w:val="ListNumber"/>
        <w:numPr>
          <w:ilvl w:val="0"/>
          <w:numId w:val="14"/>
        </w:numPr>
      </w:pPr>
      <w:r>
        <w:rPr>
          <w:b/>
        </w:rPr>
        <w:t>树级加权消融</w:t>
      </w:r>
      <w:r>
        <w:t>：按单树验证准确率对树赋权（不依赖样本），用于与样本条件加权区分开。</w:t>
      </w:r>
    </w:p>
    <w:p>
      <w:pPr>
        <w:pStyle w:val="ListNumber"/>
        <w:numPr>
          <w:ilvl w:val="0"/>
          <w:numId w:val="14"/>
        </w:numPr>
      </w:pPr>
      <w:r>
        <w:rPr>
          <w:b/>
        </w:rPr>
        <w:t>协议对照</w:t>
      </w:r>
      <w:r>
        <w:t>：先划分后训练侧去重、以及两个总体定义，用于回答 RQ3。</w:t>
      </w:r>
    </w:p>
    <w:p>
      <w:pPr>
        <w:pStyle w:val="ListNumber"/>
        <w:numPr>
          <w:ilvl w:val="0"/>
          <w:numId w:val="14"/>
        </w:numP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0.75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表 5 中有两行值得说明。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相对极端随机树</w:t>
      </w:r>
      <w:r>
        <w:t>：差异大且无歧义（d_z = 19.68，十个种子全部支持）。它与第五条的神经基线一起，构成本研究仅有的两处实质性模型间差距，而且都来自模型族而非聚合规则。</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秒。这些代价换来的最好说法是 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r>
        <w:t>逐种子指标、逐类别报告、归一化混淆矩阵与等价性检验见补充材料 S05–S07 与 S20。</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全量、仅熵、仅边距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r>
        <w:t>门控搜索、逐行权重记录与专家多样性实验见补充材料 S08–S09、S16 与 S18。</w:t>
      </w:r>
    </w:p>
    <w:p>
      <w:pPr>
        <w:pStyle w:val="Heading2"/>
      </w:pPr>
      <w:r>
        <w:t>5.4 RQ3：协议效应比聚合规则差异大一个数量级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。这是本文观察到的最大单项协议效应，大于任何聚合规则差异与调参预算差异（最大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把五个量级并列：聚合规则 0.0005、特征视图 +0.0021、去重顺序 +0.0014（最大 0.0060）、类别先验 +0.0725、调参预算 +0.0078。</w:t>
      </w:r>
      <w:r>
        <w:rPr>
          <w:b/>
        </w:rPr>
        <w:t>H3 假设被证伪：协议不可交换，而且协议效应远大于聚合规则之间的差异。</w:t>
      </w:r>
      <w:r>
        <w:t xml:space="preserve"> 需要强调的是，这一排序针对的是聚合规则本身。模型族之间的差异更大：多层感知机比森林低 0.0916 Macro-F1，极端随机树低 0.0318，前者甚至超过类别先验的 0.0725。因此准确的表述是：聚合规则差异被协议选择压过，而模型族差异不会。</w:t>
      </w:r>
    </w:p>
    <w:p>
      <w:r>
        <w:t>协议敏感性实验与嵌套交叉验证逐折指标见补充材料 S10–S11。</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r>
        <w:t>外部数据集基准、文件级外推与神经基线对照见补充材料 S12–S14 与 S19。</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r>
        <w:t>校准、鲁棒性、延迟、资源、代价敏感与近重复结果见补充材料 S15 与 S21–S23、S26。</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numPr>
          <w:ilvl w:val="0"/>
          <w:numId w:val="15"/>
        </w:numPr>
      </w:pPr>
      <w:r>
        <w:rPr>
          <w:b/>
        </w:rPr>
        <w:t>划分噪声</w:t>
      </w:r>
      <w:r>
        <w:t>：十次重复划分会让 Macro-F1 波动约 0.011，超过本文测得的聚合规则差异与调参预算差异（最大 0.0078）；只有模型族差距（0.0318 与 0.0916）更大。</w:t>
      </w:r>
    </w:p>
    <w:p>
      <w:pPr>
        <w:pStyle w:val="ListNumber"/>
        <w:numPr>
          <w:ilvl w:val="0"/>
          <w:numId w:val="15"/>
        </w:numPr>
      </w:pPr>
      <w:r>
        <w:rPr>
          <w:b/>
        </w:rPr>
        <w:t>协议选择</w:t>
      </w:r>
      <w:r>
        <w:t>：把类别先验从平衡改为自然，Macro-F1 变化 +0.0725；把去重顺序反过来，至多 +0.0060。</w:t>
      </w:r>
    </w:p>
    <w:p>
      <w:pPr>
        <w:pStyle w:val="ListNumber"/>
        <w:numPr>
          <w:ilvl w:val="0"/>
          <w:numId w:val="15"/>
        </w:numPr>
      </w:pPr>
      <w:r>
        <w:rPr>
          <w:b/>
        </w:rPr>
        <w:t>调参预算不对等</w:t>
      </w:r>
      <w:r>
        <w:t>：在 5×3 嵌套交叉验证下，被同等调优的 XGBoost 比随机森林高 0.0078，这已超过多数论文所报告的"改进幅度"。</w:t>
      </w:r>
    </w:p>
    <w:p>
      <w:pPr>
        <w:pStyle w:val="ListNumber"/>
        <w:numPr>
          <w:ilvl w:val="0"/>
          <w:numId w:val="15"/>
        </w:numP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任何关于聚合规则的增益主张，都应当在控制上述四项之后仍然成立，否则应当被表述为协议效应。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numPr>
          <w:ilvl w:val="0"/>
          <w:numId w:val="16"/>
        </w:numPr>
      </w:pPr>
      <w:r>
        <w:rPr>
          <w:b/>
        </w:rPr>
        <w:t>原始数据计数链</w:t>
      </w:r>
      <w:r>
        <w:t>：从原始记录数到最终研究总体，逐阶段给出剩余与排除数量。</w:t>
      </w:r>
    </w:p>
    <w:p>
      <w:pPr>
        <w:pStyle w:val="ListNumber"/>
        <w:numPr>
          <w:ilvl w:val="0"/>
          <w:numId w:val="16"/>
        </w:numPr>
      </w:pPr>
      <w:r>
        <w:rPr>
          <w:b/>
        </w:rPr>
        <w:t>去重位置与冲突处理规则</w:t>
      </w:r>
      <w:r>
        <w:t>：明确说明去重发生在划分之前还是之后，以及相同特征向量对应不同标签时的处理方式。</w:t>
      </w:r>
    </w:p>
    <w:p>
      <w:pPr>
        <w:pStyle w:val="ListNumber"/>
        <w:numPr>
          <w:ilvl w:val="0"/>
          <w:numId w:val="16"/>
        </w:numPr>
      </w:pPr>
      <w:r>
        <w:rPr>
          <w:b/>
        </w:rPr>
        <w:t>变换的拟合边界</w:t>
      </w:r>
      <w:r>
        <w:t>：标准化、特征选择、过采样、超参数搜索各自在哪个分区上拟合。</w:t>
      </w:r>
    </w:p>
    <w:p>
      <w:pPr>
        <w:pStyle w:val="ListNumber"/>
        <w:numPr>
          <w:ilvl w:val="0"/>
          <w:numId w:val="16"/>
        </w:numPr>
      </w:pPr>
      <w:r>
        <w:rPr>
          <w:b/>
        </w:rPr>
        <w:t>研究总体与目标总体的区分</w:t>
      </w:r>
      <w:r>
        <w:t>：说明使用的研究子集如何被构造，以及它与全语料、与生产流量先验的差距。</w:t>
      </w:r>
    </w:p>
    <w:p>
      <w:pPr>
        <w:pStyle w:val="ListNumber"/>
        <w:numPr>
          <w:ilvl w:val="0"/>
          <w:numId w:val="16"/>
        </w:numPr>
      </w:pPr>
      <w:r>
        <w:rPr>
          <w:b/>
        </w:rPr>
        <w:t>主指标的明确指定</w:t>
      </w:r>
      <w:r>
        <w:t>：在类别不平衡场景下，预先声明 Macro-F1 或平衡准确率为主指标，准确率仅作参考。</w:t>
      </w:r>
    </w:p>
    <w:p>
      <w:pPr>
        <w:pStyle w:val="ListNumber"/>
        <w:numPr>
          <w:ilvl w:val="0"/>
          <w:numId w:val="16"/>
        </w:numPr>
      </w:pPr>
      <w:r>
        <w:rPr>
          <w:b/>
        </w:rPr>
        <w:t>配对统计与效应量</w:t>
      </w:r>
      <w:r>
        <w:t>：至少报告配对差、区间估计与多重比较校正；单个点估计不构成证据。</w:t>
      </w:r>
    </w:p>
    <w:p>
      <w:pPr>
        <w:pStyle w:val="ListNumber"/>
        <w:numPr>
          <w:ilvl w:val="0"/>
          <w:numId w:val="16"/>
        </w:numPr>
      </w:pPr>
      <w:r>
        <w:rPr>
          <w:b/>
        </w:rPr>
        <w:t>次生成本的独立报告</w:t>
      </w:r>
      <w:r>
        <w:t>：概率质量、开放集能力、鲁棒性与延迟应与判别指标分开报告，不与主指标混合成一个"综合得分"。</w:t>
      </w:r>
    </w:p>
    <w:p>
      <w:pPr>
        <w:pStyle w:val="ListNumber"/>
        <w:numPr>
          <w:ilvl w:val="0"/>
          <w:numId w:val="16"/>
        </w:numP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条。因此二者是审计流程的产物，而不是运行网络的样本；本文所有数值都限定在这两个总体之上。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协议效应主导聚合规则差异。</w:t>
      </w:r>
      <w:r>
        <w:t xml:space="preserve"> 在同一批实验中，类别先验变化带来 +0.0725 的 Macro-F1 差异，去重顺序至多 +0.0060，而聚合规则仅 0.0005。文件级压力测试中，同一模型的 Macro-F1 跨度达 0.3325 至 0.9997。因此，在公开入侵检测数据集上，</w:t>
      </w:r>
      <w:r>
        <w:rPr>
          <w:b/>
        </w:rPr>
        <w:t>报告什么协议比报告什么聚合规则更能决定结论</w:t>
      </w:r>
      <w:r>
        <w:t>——不过模型族的选择可能比两者都更重要。</w:t>
      </w:r>
    </w:p>
    <w:p>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v1.10.0，标签 v1.10.0）。原始数据集不随论文分发；论文记录来源地址、检索日期、版本快照与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DOI，而不再留待核验。逐条核验记录见补充材料 S24。</w:t>
      </w:r>
    </w:p>
    <w:p>
      <w:pPr>
        <w:pStyle w:val="ListNumber"/>
        <w:numPr>
          <w:ilvl w:val="0"/>
          <w:numId w:val="17"/>
        </w:numPr>
      </w:pPr>
      <w:r>
        <w:t>Breiman L. Random forests. Machine Learning, 2001, 45(1): 5-32. DOI:10.1023/A:1010933404324.</w:t>
      </w:r>
    </w:p>
    <w:p>
      <w:pPr>
        <w:pStyle w:val="ListNumber"/>
        <w:numPr>
          <w:ilvl w:val="0"/>
          <w:numId w:val="17"/>
        </w:numPr>
      </w:pPr>
      <w:r>
        <w:t>Breiman L. Bagging predictors. Machine Learning, 1996, 24(2): 123-140. DOI:10.1007/BF00058655.</w:t>
      </w:r>
    </w:p>
    <w:p>
      <w:pPr>
        <w:pStyle w:val="ListNumber"/>
        <w:numPr>
          <w:ilvl w:val="0"/>
          <w:numId w:val="17"/>
        </w:numPr>
      </w:pPr>
      <w:r>
        <w:t>Geurts P, Ernst D, Wehenkel L. Extremely randomized trees. Machine Learning, 2006, 63(1): 3-42. DOI:10.1007/s10994-006-6226-1.</w:t>
      </w:r>
    </w:p>
    <w:p>
      <w:pPr>
        <w:pStyle w:val="ListNumber"/>
        <w:numPr>
          <w:ilvl w:val="0"/>
          <w:numId w:val="17"/>
        </w:numPr>
      </w:pPr>
      <w:r>
        <w:t>Chen T, Guestrin C. XGBoost: A scalable tree boosting system. KDD 2016: 785-794. DOI:10.1145/2939672.2939785.</w:t>
      </w:r>
    </w:p>
    <w:p>
      <w:pPr>
        <w:pStyle w:val="ListNumber"/>
        <w:numPr>
          <w:ilvl w:val="0"/>
          <w:numId w:val="17"/>
        </w:numPr>
      </w:pPr>
      <w:r>
        <w:t>Ke G, Meng Q, Finley T, et al. LightGBM: A highly efficient gradient boosting decision tree. NeurIPS 2017: 3146-3154. [无 DOI；NeurIPS 会议论文集]</w:t>
      </w:r>
    </w:p>
    <w:p>
      <w:pPr>
        <w:pStyle w:val="ListNumber"/>
        <w:numPr>
          <w:ilvl w:val="0"/>
          <w:numId w:val="17"/>
        </w:numPr>
      </w:pPr>
      <w:r>
        <w:t>Freund Y, Schapire R E. A decision-theoretic generalization of on-line learning and an application to boosting. Journal of Computer and System Sciences, 1997, 55(1): 119-139. DOI:10.1006/jcss.1997.1504.</w:t>
      </w:r>
    </w:p>
    <w:p>
      <w:pPr>
        <w:pStyle w:val="ListNumber"/>
        <w:numPr>
          <w:ilvl w:val="0"/>
          <w:numId w:val="17"/>
        </w:numPr>
      </w:pPr>
      <w:r>
        <w:t>Friedman J H. Greedy function approximation: A gradient boosting machine. The Annals of Statistics, 2001, 29(5): 1189-1232. DOI:10.1214/aos/1013203451.</w:t>
      </w:r>
    </w:p>
    <w:p>
      <w:pPr>
        <w:pStyle w:val="ListNumber"/>
        <w:numPr>
          <w:ilvl w:val="0"/>
          <w:numId w:val="17"/>
        </w:numPr>
      </w:pPr>
      <w:r>
        <w:t>Dietterich T G. Ensemble methods in machine learning. MCS 2000: 1-15. DOI:10.1007/3-540-45014-9_1.</w:t>
      </w:r>
    </w:p>
    <w:p>
      <w:pPr>
        <w:pStyle w:val="ListNumber"/>
        <w:numPr>
          <w:ilvl w:val="0"/>
          <w:numId w:val="17"/>
        </w:numPr>
      </w:pPr>
      <w:r>
        <w:t>Kuncheva L I. Combining Pattern Classifiers: Methods and Algorithms. Wiley, 2004. DOI:10.1002/0471660264.</w:t>
      </w:r>
    </w:p>
    <w:p>
      <w:pPr>
        <w:pStyle w:val="ListNumber"/>
        <w:numPr>
          <w:ilvl w:val="0"/>
          <w:numId w:val="17"/>
        </w:numPr>
      </w:pPr>
      <w:r>
        <w:t>Wolpert D H. Stacked generalization. Neural Networks, 1992, 5(2): 241-259. DOI:10.1016/S0893-6080(05)80023-1.</w:t>
      </w:r>
    </w:p>
    <w:p>
      <w:pPr>
        <w:pStyle w:val="ListNumber"/>
        <w:numPr>
          <w:ilvl w:val="0"/>
          <w:numId w:val="17"/>
        </w:numPr>
      </w:pPr>
      <w:r>
        <w:t>Ting K M, Witten I H. Issues in stacked generalization. Journal of Artificial Intelligence Research, 1999, 10: 271-289. DOI:10.1613/jair.594.</w:t>
      </w:r>
    </w:p>
    <w:p>
      <w:pPr>
        <w:pStyle w:val="ListNumber"/>
        <w:numPr>
          <w:ilvl w:val="0"/>
          <w:numId w:val="17"/>
        </w:numPr>
      </w:pPr>
      <w:r>
        <w:t>Liu H, Setiono R. Chi2: Feature selection and discretization of numeric attributes. ICTAI 1995: 388-391. DOI:10.1109/TAI.1995.479783.</w:t>
      </w:r>
    </w:p>
    <w:p>
      <w:pPr>
        <w:pStyle w:val="ListNumber"/>
        <w:numPr>
          <w:ilvl w:val="0"/>
          <w:numId w:val="17"/>
        </w:numPr>
      </w:pPr>
      <w:r>
        <w:t>Guyon I, Elisseeff A. An introduction to variable and feature selection. JMLR, 2003, 3: 1157-1182. [无 DOI；JMLR]</w:t>
      </w:r>
    </w:p>
    <w:p>
      <w:pPr>
        <w:pStyle w:val="ListNumber"/>
        <w:numPr>
          <w:ilvl w:val="0"/>
          <w:numId w:val="17"/>
        </w:numPr>
      </w:pPr>
      <w:r>
        <w:t>Sharafaldin I, Lashkari A H, Ghorbani A A. Toward generating a new intrusion detection dataset and intrusion traffic characterization. ICISSP 2018: 108-116. DOI:10.5220/0006639801080116.</w:t>
      </w:r>
    </w:p>
    <w:p>
      <w:pPr>
        <w:pStyle w:val="ListNumber"/>
        <w:numPr>
          <w:ilvl w:val="0"/>
          <w:numId w:val="17"/>
        </w:numPr>
      </w:pPr>
      <w:r>
        <w:t>Tavallaee M, Bagheri E, Lu W, Ghorbani A A. A detailed analysis of the KDD CUP 99 data set. CISDA 2009: 1-6. DOI:10.1109/CISDA.2009.5356528.</w:t>
      </w:r>
    </w:p>
    <w:p>
      <w:pPr>
        <w:pStyle w:val="ListNumber"/>
        <w:numPr>
          <w:ilvl w:val="0"/>
          <w:numId w:val="17"/>
        </w:numPr>
      </w:pPr>
      <w:r>
        <w:t>Moustafa N, Slay J. UNSW-NB15: A comprehensive data set for network intrusion detection systems. MilCIS 2015: 1-6. DOI:10.1109/MilCIS.2015.7348942.</w:t>
      </w:r>
    </w:p>
    <w:p>
      <w:pPr>
        <w:pStyle w:val="ListNumber"/>
        <w:numPr>
          <w:ilvl w:val="0"/>
          <w:numId w:val="17"/>
        </w:numPr>
      </w:pPr>
      <w:r>
        <w:t>Ring M, Wunderlich S, Scheuring D, et al. A survey of network-based intrusion detection data sets. Computers &amp; Security, 2019, 86: 147-167. DOI:10.1016/j.cose.2019.06.005.</w:t>
      </w:r>
    </w:p>
    <w:p>
      <w:pPr>
        <w:pStyle w:val="ListNumber"/>
        <w:numPr>
          <w:ilvl w:val="0"/>
          <w:numId w:val="17"/>
        </w:numPr>
      </w:pPr>
      <w:r>
        <w:t>Engelen G, Timmerman J. Troubleshooting an intrusion detection dataset: The CICIDS2017 case study. IEEE S&amp;P Workshops 2021: 7-12. DOI:10.1109/SPW53761.2021.00009.</w:t>
      </w:r>
    </w:p>
    <w:p>
      <w:pPr>
        <w:pStyle w:val="ListNumber"/>
        <w:numPr>
          <w:ilvl w:val="0"/>
          <w:numId w:val="17"/>
        </w:numPr>
      </w:pPr>
      <w:r>
        <w:t>Liu L, Engelen G, Timmerman J, et al. Error prevalence in NIDS datasets: A case study on CIC-IDS-2017 and CSE-CIC-IDS-2018. IEEE CNS 2022. DOI:10.1109/CNS56114.2022.9947235.</w:t>
      </w:r>
    </w:p>
    <w:p>
      <w:pPr>
        <w:pStyle w:val="ListNumber"/>
        <w:numPr>
          <w:ilvl w:val="0"/>
          <w:numId w:val="17"/>
        </w:numPr>
      </w:pPr>
      <w:r>
        <w:t>Arp D, Quiring E, Pendlebury F, et al. Dos and don'ts of machine learning in computer security. USENIX Security 2022: 3971-3988. [无 DOI；USENIX Security 会议论文集]</w:t>
      </w:r>
    </w:p>
    <w:p>
      <w:pPr>
        <w:pStyle w:val="ListNumber"/>
        <w:numPr>
          <w:ilvl w:val="0"/>
          <w:numId w:val="17"/>
        </w:numPr>
      </w:pPr>
      <w:r>
        <w:t>Sommer R, Paxson V. Outside the closed world: On using machine learning for network intrusion detection. IEEE S&amp;P 2010: 305-316. DOI:10.1109/SP.2010.25.</w:t>
      </w:r>
    </w:p>
    <w:p>
      <w:pPr>
        <w:pStyle w:val="ListNumber"/>
        <w:numPr>
          <w:ilvl w:val="0"/>
          <w:numId w:val="17"/>
        </w:numPr>
      </w:pPr>
      <w:r>
        <w:t>Buczak A L, Guven E. A survey of data mining and machine learning methods for cyber security intrusion detection. IEEE Communications Surveys &amp; Tutorials, 2016, 18(2): 1153-1176. DOI:10.1109/COMST.2015.2494502.</w:t>
      </w:r>
    </w:p>
    <w:p>
      <w:pPr>
        <w:pStyle w:val="ListNumber"/>
        <w:numPr>
          <w:ilvl w:val="0"/>
          <w:numId w:val="17"/>
        </w:numPr>
      </w:pPr>
      <w:r>
        <w:t>Khraisat A, Gondal I, Vamplew P, Kamruzzaman J. Survey of intrusion detection systems: Techniques, datasets and challenges. Cybersecurity, 2019, 2: 20. DOI:10.1186/s42400-019-0038-7.</w:t>
      </w:r>
    </w:p>
    <w:p>
      <w:pPr>
        <w:pStyle w:val="ListNumber"/>
        <w:numPr>
          <w:ilvl w:val="0"/>
          <w:numId w:val="17"/>
        </w:numPr>
      </w:pPr>
      <w:r>
        <w:t>Apruzzese G, Laskov P, Montgomery E, et al. The role of machine learning in cybersecurity. ACM Digital Threats: Research and Practice, 2023, 4(1): 1-38. DOI:10.1145/3545574.</w:t>
      </w:r>
    </w:p>
    <w:p>
      <w:pPr>
        <w:pStyle w:val="ListNumber"/>
        <w:numPr>
          <w:ilvl w:val="0"/>
          <w:numId w:val="17"/>
        </w:numPr>
      </w:pPr>
      <w:r>
        <w:t>Geng C, Huang S J, Chen S. Recent advances in open set recognition: A survey. IEEE TPAMI, 2021, 43(10): 3614-3631. DOI:10.1109/TPAMI.2020.2981604.</w:t>
      </w:r>
    </w:p>
    <w:p>
      <w:pPr>
        <w:pStyle w:val="ListNumber"/>
        <w:numPr>
          <w:ilvl w:val="0"/>
          <w:numId w:val="17"/>
        </w:numPr>
      </w:pPr>
      <w:r>
        <w:t>Bendale A, Boult T E. Towards open set deep networks. CVPR 2016: 1563-1572. DOI:10.1109/CVPR.2016.173.</w:t>
      </w:r>
    </w:p>
    <w:p>
      <w:pPr>
        <w:pStyle w:val="ListNumber"/>
        <w:numPr>
          <w:ilvl w:val="0"/>
          <w:numId w:val="17"/>
        </w:numPr>
      </w:pPr>
      <w:r>
        <w:t>Guo C, Pleiss G, Sun Y, Weinberger K Q. On calibration of modern neural networks. ICML 2017: 1321-1330. [无 DOI；PMLR]</w:t>
      </w:r>
    </w:p>
    <w:p>
      <w:pPr>
        <w:pStyle w:val="ListNumber"/>
        <w:numPr>
          <w:ilvl w:val="0"/>
          <w:numId w:val="17"/>
        </w:numPr>
      </w:pPr>
      <w:r>
        <w:t>Ovadia Y, Fertig E, Ren J, et al. Can you trust your model's uncertainty? Evaluating predictive uncertainty under dataset shift. NeurIPS 2019: 13991-14002. [无 DOI；NeurIPS 会议论文集]</w:t>
      </w:r>
    </w:p>
    <w:p>
      <w:pPr>
        <w:pStyle w:val="ListNumber"/>
        <w:numPr>
          <w:ilvl w:val="0"/>
          <w:numId w:val="17"/>
        </w:numPr>
      </w:pPr>
      <w:r>
        <w:t>Lakshminarayanan B, Pritzel A, Blundell C. Simple and scalable predictive uncertainty estimation using deep ensembles. NeurIPS 2017: 6402-6413. [无 DOI；NeurIPS 会议论文集]</w:t>
      </w:r>
    </w:p>
    <w:p>
      <w:pPr>
        <w:pStyle w:val="ListNumber"/>
        <w:numPr>
          <w:ilvl w:val="0"/>
          <w:numId w:val="17"/>
        </w:numPr>
      </w:pPr>
      <w:r>
        <w:t>Angelopoulos A N, Bates S. Conformal prediction: A gentle introduction. Foundations and Trends in Machine Learning, 2023, 16(4): 494-591. DOI:10.1561/2200000101.</w:t>
      </w:r>
    </w:p>
    <w:p>
      <w:pPr>
        <w:pStyle w:val="ListNumber"/>
        <w:numPr>
          <w:ilvl w:val="0"/>
          <w:numId w:val="17"/>
        </w:numPr>
      </w:pPr>
      <w:r>
        <w:t>Vovk V, Gammerman A, Shafer G. Algorithmic Learning in a Random World. Springer, 2005. DOI:10.1007/b106715.</w:t>
      </w:r>
    </w:p>
    <w:p>
      <w:pPr>
        <w:pStyle w:val="ListNumber"/>
        <w:numPr>
          <w:ilvl w:val="0"/>
          <w:numId w:val="17"/>
        </w:numPr>
      </w:pPr>
      <w:r>
        <w:t>Shafer G, Vovk V. A tutorial on conformal prediction. JMLR, 2008, 9: 371-421. [无 DOI；JMLR]</w:t>
      </w:r>
    </w:p>
    <w:p>
      <w:pPr>
        <w:pStyle w:val="ListNumber"/>
        <w:numPr>
          <w:ilvl w:val="0"/>
          <w:numId w:val="17"/>
        </w:numPr>
      </w:pPr>
      <w:r>
        <w:t>Lei J, G'Sell M, Rinaldo A, et al. Distribution-free predictive inference for regression. JASA, 2018, 113(523): 1094-1111. DOI:10.1080/01621459.2017.1307116.</w:t>
      </w:r>
    </w:p>
    <w:p>
      <w:pPr>
        <w:pStyle w:val="ListNumber"/>
        <w:numPr>
          <w:ilvl w:val="0"/>
          <w:numId w:val="17"/>
        </w:numPr>
      </w:pPr>
      <w:r>
        <w:t>McNemar Q. Note on the sampling error of the difference between correlated proportions or percentages. Psychometrika, 1947, 12(2): 153-157. DOI:10.1007/BF02295996.</w:t>
      </w:r>
    </w:p>
    <w:p>
      <w:pPr>
        <w:pStyle w:val="ListNumber"/>
        <w:numPr>
          <w:ilvl w:val="0"/>
          <w:numId w:val="17"/>
        </w:numPr>
      </w:pPr>
      <w:r>
        <w:t>Dietterich T G. Approximate statistical tests for comparing supervised classification learning algorithms. Neural Computation, 1998, 10(7): 1895-1923. DOI:10.1162/089976698300017197.</w:t>
      </w:r>
    </w:p>
    <w:p>
      <w:pPr>
        <w:pStyle w:val="ListNumber"/>
        <w:numPr>
          <w:ilvl w:val="0"/>
          <w:numId w:val="17"/>
        </w:numPr>
      </w:pPr>
      <w:r>
        <w:t>Demsar J. Statistical comparisons of classifiers over multiple data sets. JMLR, 2006, 7: 1-30. [无 DOI；JMLR]</w:t>
      </w:r>
    </w:p>
    <w:p>
      <w:pPr>
        <w:pStyle w:val="ListNumber"/>
        <w:numPr>
          <w:ilvl w:val="0"/>
          <w:numId w:val="17"/>
        </w:numPr>
      </w:pPr>
      <w:r>
        <w:t>Holm S. A simple sequentially rejective multiple test procedure. Scandinavian Journal of Statistics, 1979, 6(2): 65-70. [无 DOI；JSTOR 稳定记录 4615733]</w:t>
      </w:r>
    </w:p>
    <w:p>
      <w:pPr>
        <w:pStyle w:val="ListNumber"/>
        <w:numPr>
          <w:ilvl w:val="0"/>
          <w:numId w:val="17"/>
        </w:numPr>
      </w:pPr>
      <w:r>
        <w:t>Efron B, Tibshirani R J. An Introduction to the Bootstrap. Chapman &amp; Hall/CRC, 1993. ISBN 978-0-412-04231-7。</w:t>
      </w:r>
    </w:p>
    <w:p>
      <w:pPr>
        <w:pStyle w:val="ListNumber"/>
        <w:numPr>
          <w:ilvl w:val="0"/>
          <w:numId w:val="17"/>
        </w:numPr>
      </w:pPr>
      <w:r>
        <w:t>Lakens D. Equivalence tests: A practical primer for t tests, correlations, and meta-analyses. Social Psychological and Personality Science, 2017, 8(4): 355-362. DOI:10.1177/1948550617697177.</w:t>
      </w:r>
    </w:p>
    <w:p>
      <w:pPr>
        <w:pStyle w:val="ListNumber"/>
        <w:numPr>
          <w:ilvl w:val="0"/>
          <w:numId w:val="17"/>
        </w:numPr>
      </w:pPr>
      <w:r>
        <w:t>Han S, Kim Y, Lee S. Improvement of the classification performance of an intrusion detection model for rare and unknown attack traffic. Electronics, 2021, 10(18): 2268. DOI:10.3390/electronics10182268.</w:t>
      </w:r>
    </w:p>
    <w:p>
      <w:pPr>
        <w:pStyle w:val="ListNumber"/>
        <w:numPr>
          <w:ilvl w:val="0"/>
          <w:numId w:val="17"/>
        </w:numPr>
      </w:pPr>
      <w:r>
        <w:t>Guolou P, Ye X. Open-set intrusion detection with MinMax autoencoder and pseudo extreme value machine. IJCNN 2022. DOI:10.1109/IJCNN55064.2022.9892858.</w:t>
      </w:r>
    </w:p>
    <w:p>
      <w:pPr>
        <w:pStyle w:val="ListNumber"/>
        <w:numPr>
          <w:ilvl w:val="0"/>
          <w:numId w:val="17"/>
        </w:numPr>
      </w:pPr>
      <w:r>
        <w:t>Pedregosa F, Varoquaux G, Gramfort A, et al. Scikit-learn: Machine learning in Python. JMLR, 2011, 12: 2825-2830. [无 DOI；JMLR]</w:t>
      </w:r>
    </w:p>
    <w:p>
      <w:pPr>
        <w:pStyle w:val="ListNumber"/>
        <w:numPr>
          <w:ilvl w:val="0"/>
          <w:numId w:val="17"/>
        </w:numPr>
      </w:pPr>
      <w:r>
        <w:t>Harris C R, Millman K J, van der Walt S J, et al. Array programming with NumPy. Nature, 2020, 585: 357-362. DOI:10.1038/s41586-020-2649-2.</w:t>
      </w:r>
    </w:p>
    <w:p>
      <w:pPr>
        <w:pStyle w:val="ListNumber"/>
        <w:numPr>
          <w:ilvl w:val="0"/>
          <w:numId w:val="17"/>
        </w:numPr>
      </w:pPr>
      <w:r>
        <w:t>McKinney W. Data structures for statistical computing in Python. SciPy 2010: 56-61. DOI:10.25080/Majora-92bf1922-00a.</w:t>
      </w:r>
    </w:p>
    <w:p>
      <w:pPr>
        <w:pStyle w:val="ListNumber"/>
        <w:numPr>
          <w:ilvl w:val="0"/>
          <w:numId w:val="17"/>
        </w:numP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