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增益与专家多样性同步变化（十五个构造配置上的剂量—反应关系，属相关性证据，非干预实验）：分歧率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（同一台机器；训练与整批推理为十种子均值，模型体积与吞吐为单种子资源画像 S22）：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；四个语料都不提供同一测试床上的时间分离留出集；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（三个时长版本、逐页讲稿、22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53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