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项目流程图</w:t>
      </w:r>
    </w:p>
    <w:p>
      <w:r>
        <w:t>&gt; 一张图概括从数据到投稿包的全过程；每个方框都对应可核验的脚本或产物。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598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roj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项目全流程</w:t>
      </w:r>
    </w:p>
    <w:p>
      <w:pPr>
        <w:pStyle w:val="Heading1"/>
      </w:pPr>
      <w:r>
        <w:t>各阶段的入口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阶段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入口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产物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① 数据获取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S01、</w:t>
            </w:r>
            <w:r>
              <w:rPr>
                <w:rFonts w:ascii="Consolas" w:hAnsi="Consolas"/>
                <w:sz w:val="16"/>
              </w:rPr>
              <w:t>docs/source_records/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四项语料的摘要与来源记录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② 数据处理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src/prepare_dataset.py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src/data_pipeline.py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scripts/audit_data_processing_v1.py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data_processed_*</w:t>
            </w:r>
            <w:r>
              <w:rPr>
                <w:sz w:val="16"/>
              </w:rPr>
              <w:t>、审计 JSON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③ 建模与对照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src/rccf_forest.py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scripts/run_seeds10_v5.py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scripts/tune_gate_v5.py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逐种子预测、门控搜索记录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④ 评估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scripts/run_full_corpus_parallel_v1.py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scripts/audit_released_evidence_v1.py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汇总指标、TOST、开放集与代价结果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⑤ 机制分析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scripts/analyze_margin_bound_v5.py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scripts/run_diversity_suite_v5.py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边距上界、多样性回归、稀释诊断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⑥ 论文与交付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scripts/build_restructured_manuscript_v4.py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scripts/package_submission_bundle_v18.py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正式稿件、补充材料、投稿包</w:t>
            </w:r>
          </w:p>
        </w:tc>
      </w:tr>
    </w:tbl>
    <w:p>
      <w:pPr>
        <w:spacing w:after="40"/>
      </w:pPr>
    </w:p>
    <w:p>
      <w:r>
        <w:t>矢量版（印刷用）：</w:t>
      </w:r>
      <w:r>
        <w:rPr>
          <w:rFonts w:ascii="Consolas" w:hAnsi="Consolas"/>
        </w:rPr>
        <w:t>figures_project/flow_project.pdf</w:t>
      </w:r>
      <w:r>
        <w:t>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