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六个扩展实验：专家家族与数量、按天留出、外部队列十种子、部署向指标、CIC-IDS2018、CIC-IoT-2023。每个实验的逐种子数据都保存在对应的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0.964124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0.964124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0.752375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0.752347 / +0.000028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5 000（训练）/2 000（测试）；三种子、三个确定性视图，与扩展协议一致。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data_processed_rt_iot2022_v1 --experiments 42 2024 3407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0.999335，同成员等权融合 0.999335，差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0.985332，同成员等权融合 0.985332，差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0.940292，同成员等权融合 0.940057，差 +0.000235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0.777677，同成员等权融合 0.777677，差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语料上，门控与同成员等权融合的差值为 0.000000–0.000235 Macro-F1；其中 ACI-IoT-2023 与 RT-IoT2022 的绝对水平（0.778 / 0.940）明显低于 2017 数据，说明结论不依赖语料年代，也不依赖判别难度。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