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47/47 全覆盖，抽查 21 条零失配；</w:t>
            </w:r>
            <w:r>
              <w:rPr>
                <w:b/>
                <w:sz w:val="16"/>
              </w:rPr>
              <w:t>47 条 DOI 已全部通过 Crossref 核验</w:t>
            </w:r>
            <w:r>
              <w:rPr>
                <w:sz w:val="16"/>
              </w:rPr>
              <w:t>（含新增的 N-BaIoT 论文与数据集 DOI）（1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边界下均成立；第四个数据集 N-BaIoT（18 万条、IoT 领域）上所有模型 Macro-F1 ≥ 0.9998，RCCF 与等权森林差异为 0（结果见 §5.7 与补充材料 S27、S28）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补充材料_S01_S28/</w:t>
      </w:r>
      <w:r>
        <w:t xml:space="preserve">：28 条目、69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S01–S28，69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补充材料_S01_S28/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