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的区间内其代价敏感表现与等权森林相同。贡献在于一套可复用的泄漏受控协议、一组可辨识性边界，以及一张把协议效应与聚合策略差异分开量化的失效地图。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。我们在同一批数据上测量五类差异来源并给出量级：聚合策略（0.0005）、特征视图（+0.0021）、类别先验（+0.0725）、去重顺序（至多 +0.0060）、文件外推（0.33–1.00）。结论是协议效应比聚合策略差异高出一个数量级。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19.68，十个种子全部支持），是本研究唯一一处实质性的模型间差距。</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自然先验下 RCCF 训练耗时 61.0 秒，等权森林为 0.78 秒；整批推理耗时 0.244 秒对 0.046 秒（约 5.3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。这是本文观察到的最大单项协议效应，大于任何聚合策略差异与调参预算差异（最大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聚合策略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v1.9.0，标签 v1.9.0）。原始数据集不随论文分发；论文记录来源地址、检索日期、版本快照与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