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conditional mechanism is 4.1 times larger and 4.6 times slower per row than a single equal-weight forest, and its cost-sensitive behaviour matches that forest across false-negative to false-positive cost ratios from 1 to 100. The contribution is a reusable leakage-controlled protocol, an identifiability boundary and a quantitative map that separates protocol effects from aggregation-rule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in the literature,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w:t>
      </w:r>
    </w:p>
    <w:p>
      <w:r>
        <w:t>and a first-order expansion of the softmax gives the simpler relation</w:t>
      </w:r>
    </w:p>
    <w:p>
      <w:pPr>
        <w:jc w:val="center"/>
      </w:pPr>
      <w:r>
        <w:rPr>
          <w:rFonts w:ascii="Cambria Math" w:hAnsi="Cambria Math"/>
          <w:sz w:val="22"/>
        </w:rPr>
        <w:t>1-H_{norm}(w)\ \approx\ \frac{\mathrm{Var}(\delta)}{2\log Q}.</w:t>
      </w:r>
    </w:p>
    <w:p>
      <w:r>
        <w:t>Both are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observable is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on both populations (ten seeds for the natural-prior panel)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That is larger than every aggregation-rule and tuning-budget difference observed here (at most 0.0078), though not larger than the model-family gaps of 0.032 and 0.092.</w:t>
      </w:r>
    </w:p>
    <w:p>
      <w:pPr>
        <w:pStyle w:val="ListNumber"/>
      </w:pPr>
      <w:r>
        <w:rPr>
          <w:b/>
        </w:rPr>
        <w:t>Protocol choice.</w:t>
      </w:r>
      <w:r>
        <w:t xml:space="preserve"> Changing the class prior from balanced to natural moves Macro-F1 by +0.0725,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aggregation-rule differences.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v1.9.0, tag v1.9.0).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S01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S02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S03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S04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S05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S07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S08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S09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