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分钟版本的建议页序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协议：六阶段审计（图 2 + 表 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机制：边距上界 + 门控搜索（图 5/6）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稀释诊断：视图分差 ÷ 4 ≈ 实测差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结论与部署建议 + 局限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</w:tbl>
    <w:p>
      <w:pPr>
        <w:spacing w:after="40"/>
      </w:pPr>
    </w:p>
    <w:p>
      <w:pPr>
        <w:pStyle w:val="Heading1"/>
      </w:pPr>
      <w:r>
        <w:t>四、数字速查（被追问时直接念）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可证不变的测试行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99.91%（改判 0 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倍、全语料 175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</w:tbl>
    <w:p>
      <w:pPr>
        <w:spacing w:after="40"/>
      </w:pPr>
    </w:p>
    <w:p>
      <w:pPr>
        <w:pStyle w:val="Heading1"/>
      </w:pPr>
      <w:r>
        <w:t>五、老师最可能追问的 8 个问题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tag；46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1"/>
      </w:pPr>
      <w:r>
        <w:t>六、措辞红线（避免过度声明）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Heading1"/>
      </w:pPr>
      <w:r>
        <w:t>七、随身材料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：两页书面介绍，可直接发给老师；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t>补充材料 S01–S30 与公开仓库（tag v1.11.0）：被追问细节时的证据索引。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