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t xml:space="preserve">&gt; </w:t>
      </w:r>
      <w:r>
        <w:rPr>
          <w:b/>
        </w:rPr>
        <w:t>状态说明（2026-09-17 更新）</w:t>
      </w:r>
    </w:p>
    <w:p>
      <w:r>
        <w:t>&gt;</w:t>
      </w:r>
    </w:p>
    <w:p>
      <w:r>
        <w:t xml:space="preserve">&gt; 本文档是 </w:t>
      </w:r>
      <w:r>
        <w:rPr>
          <w:b/>
        </w:rPr>
        <w:t>2026-09-15 的审计快照</w:t>
      </w:r>
      <w:r>
        <w:t>，保留当时的判断、命令与优先级，便于追溯"为什么要做这些事"。</w:t>
      </w:r>
    </w:p>
    <w:p>
      <w:r>
        <w:t>&gt; 截至当前版本，快照中列出的 P0/P1 缺口与阶段 1–3 的任务已绝大部分完成（少数为作者信息与期刊模板这类外部输入）。</w:t>
      </w:r>
    </w:p>
    <w:p>
      <w:r>
        <w:t>&gt; 当前状态以下列文件为准，本文档不再单独代表最新进度：</w:t>
      </w:r>
    </w:p>
    <w:p>
      <w:r>
        <w:t>&gt;</w:t>
      </w:r>
    </w:p>
    <w:p>
      <w:r>
        <w:t xml:space="preserve">&gt; - </w:t>
      </w:r>
      <w:r>
        <w:rPr>
          <w:rFonts w:ascii="Consolas" w:hAnsi="Consolas"/>
        </w:rPr>
        <w:t>论文自查表.md</w:t>
      </w:r>
      <w:r>
        <w:t>：69 项检查，65 项通过、4 项部分通过、0 项缺失；含每项的证据文件。</w:t>
      </w:r>
    </w:p>
    <w:p>
      <w:r>
        <w:t xml:space="preserve">&gt; - </w:t>
      </w:r>
      <w:r>
        <w:rPr>
          <w:rFonts w:ascii="Consolas" w:hAnsi="Consolas"/>
        </w:rPr>
        <w:t>遗漏问题审查报告.md</w:t>
      </w:r>
      <w:r>
        <w:t>：第一至第二十三轮的逐轮记录、发现的问题与处置方式。</w:t>
      </w:r>
    </w:p>
    <w:p>
      <w:r>
        <w:t xml:space="preserve">&gt; - </w:t>
      </w:r>
      <w:r>
        <w:rPr>
          <w:rFonts w:ascii="Consolas" w:hAnsi="Consolas"/>
        </w:rPr>
        <w:t>English_SCI_Manuscript_v4.md</w:t>
      </w:r>
      <w:r>
        <w:t xml:space="preserve"> / </w:t>
      </w:r>
      <w:r>
        <w:rPr>
          <w:rFonts w:ascii="Consolas" w:hAnsi="Consolas"/>
        </w:rPr>
        <w:t>中文SCI论文_v4_重构版.md</w:t>
      </w:r>
      <w:r>
        <w:t>：正式稿件，v1.11.0。</w:t>
      </w:r>
    </w:p>
    <w:p>
      <w:r>
        <w:t>&gt;</w:t>
      </w:r>
    </w:p>
    <w:p>
      <w:r>
        <w:t>&gt; 建议阅读顺序：先看自查表结论 → 再看审查报告对应轮次 → 最后把本文档当作历史任务清单与命令参考。</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 xml:space="preserve">4.7 </w:t>
      </w:r>
      <w:r>
        <w:rPr>
          <w:i/>
        </w:rPr>
        <w:t>When can the gate change a prediction?</w:t>
      </w:r>
    </w:p>
    <w:p>
      <w:pPr>
        <w:pStyle w:val="ListBullet"/>
      </w:pPr>
      <w:r>
        <w:t xml:space="preserve">4.8 </w:t>
      </w:r>
      <w:r>
        <w:rPr>
          <w:i/>
        </w:rPr>
        <w:t>Gate identifiability, limiting propositions, and cost-benefit criterion</w:t>
      </w:r>
    </w:p>
    <w:p>
      <w:pPr>
        <w:pStyle w:val="ListBullet"/>
      </w:pPr>
      <w:r>
        <w:t xml:space="preserve">5.7 </w:t>
      </w:r>
      <w:r>
        <w:rPr>
          <w:i/>
        </w:rPr>
        <w:t>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numPr>
          <w:ilvl w:val="0"/>
          <w:numId w:val="10"/>
        </w:numPr>
      </w:pPr>
      <w:r>
        <w:t>卡方特征选择有没有用？</w:t>
      </w:r>
    </w:p>
    <w:p>
      <w:pPr>
        <w:pStyle w:val="ListNumber"/>
        <w:numPr>
          <w:ilvl w:val="0"/>
          <w:numId w:val="10"/>
        </w:numPr>
      </w:pPr>
      <w:r>
        <w:t>加权投票有没有用？</w:t>
      </w:r>
    </w:p>
    <w:p>
      <w:pPr>
        <w:pStyle w:val="ListNumber"/>
        <w:numPr>
          <w:ilvl w:val="0"/>
          <w:numId w:val="10"/>
        </w:numPr>
      </w:pPr>
      <w:r>
        <w:t>概率校准好不好？</w:t>
      </w:r>
    </w:p>
    <w:p>
      <w:pPr>
        <w:pStyle w:val="ListNumber"/>
        <w:numPr>
          <w:ilvl w:val="0"/>
          <w:numId w:val="10"/>
        </w:numPr>
      </w:pPr>
      <w:r>
        <w:t>开放集能不能拒绝未知攻击？</w:t>
      </w:r>
    </w:p>
    <w:p>
      <w:pPr>
        <w:pStyle w:val="ListNumber"/>
        <w:numPr>
          <w:ilvl w:val="0"/>
          <w:numId w:val="10"/>
        </w:numP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w:t>
      </w:r>
      <w:r>
        <w:rPr>
          <w:i/>
        </w:rPr>
        <w:t>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w:t>
      </w:r>
      <w:r>
        <w:rPr>
          <w:i/>
        </w:rPr>
        <w:t>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numPr>
          <w:ilvl w:val="0"/>
          <w:numId w:val="11"/>
        </w:numPr>
      </w:pPr>
      <w:r>
        <w:t>背景（1 句）：公开入侵检测数据集上报告的模型差异，对去重、泄漏与类别先验高度敏感。</w:t>
      </w:r>
    </w:p>
    <w:p>
      <w:pPr>
        <w:pStyle w:val="ListNumber"/>
        <w:numPr>
          <w:ilvl w:val="0"/>
          <w:numId w:val="11"/>
        </w:numPr>
      </w:pPr>
      <w:r>
        <w:t>问题（1 句）：样本条件集成加权被广泛假设为有效，但缺少泄漏受控下的可辨识性检验。</w:t>
      </w:r>
    </w:p>
    <w:p>
      <w:pPr>
        <w:pStyle w:val="ListNumber"/>
        <w:numPr>
          <w:ilvl w:val="0"/>
          <w:numId w:val="11"/>
        </w:numPr>
      </w:pPr>
      <w:r>
        <w:t>方法与协议（2 句）：给出泄漏受控协议与两个总体定义；给出三个命题，说明门控在什么条件下必然不改变预测。</w:t>
      </w:r>
    </w:p>
    <w:p>
      <w:pPr>
        <w:pStyle w:val="ListNumber"/>
        <w:numPr>
          <w:ilvl w:val="0"/>
          <w:numId w:val="11"/>
        </w:numPr>
      </w:pPr>
      <w:r>
        <w:t>结果（3 句）：主结果不显著（Δ=0.0011，p=0.556，区间跨 0，分歧 0 条，权重熵 0.99998）；协议变化带来 0.07 量级差异；外部数据 0.33–1.00。</w:t>
      </w:r>
    </w:p>
    <w:p>
      <w:pPr>
        <w:pStyle w:val="ListNumber"/>
        <w:numPr>
          <w:ilvl w:val="0"/>
          <w:numId w:val="11"/>
        </w:numP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numPr>
          <w:ilvl w:val="0"/>
          <w:numId w:val="12"/>
        </w:numPr>
      </w:pPr>
      <w:r>
        <w:rPr>
          <w:b/>
        </w:rPr>
        <w:t>相关工作必须有 2.1–2.5</w:t>
      </w:r>
      <w:r>
        <w:t>，不能只有一张对比表。需分别覆盖：公开数据集缺陷、特征选择与泄漏、集成聚合与加权、概率质量与开放集、本文定位。</w:t>
      </w:r>
    </w:p>
    <w:p>
      <w:pPr>
        <w:pStyle w:val="ListNumber"/>
        <w:numPr>
          <w:ilvl w:val="0"/>
          <w:numId w:val="12"/>
        </w:numPr>
      </w:pPr>
      <w:r>
        <w:rPr>
          <w:b/>
        </w:rPr>
        <w:t>讨论必须有 6.1–6.5</w:t>
      </w:r>
      <w:r>
        <w:t>：机制解释、对文献报告的解释、实践决策准则、评测规范建议、局限与效度威胁。</w:t>
      </w:r>
    </w:p>
    <w:p>
      <w:pPr>
        <w:pStyle w:val="ListNumber"/>
        <w:numPr>
          <w:ilvl w:val="0"/>
          <w:numId w:val="12"/>
        </w:numP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numPr>
          <w:ilvl w:val="0"/>
          <w:numId w:val="13"/>
        </w:numPr>
      </w:pPr>
      <w:r>
        <w:t>确认主线（第三、四节）：论文讲「协议敏感性主导模型选择」，RCCF 是被检验的机制，不是被推销的方法。</w:t>
      </w:r>
    </w:p>
    <w:p>
      <w:pPr>
        <w:pStyle w:val="ListNumber"/>
        <w:numPr>
          <w:ilvl w:val="0"/>
          <w:numId w:val="13"/>
        </w:numPr>
      </w:pPr>
      <w:r>
        <w:t>重建正文骨架（本次进行中）：按第五节写出中文重构稿，英文稿随后对齐。</w:t>
      </w:r>
    </w:p>
    <w:p>
      <w:pPr>
        <w:pStyle w:val="ListNumber"/>
        <w:numPr>
          <w:ilvl w:val="0"/>
          <w:numId w:val="13"/>
        </w:numPr>
      </w:pPr>
      <w:r>
        <w:t>补齐缺失图：图 1、图 2、图 3、图 4、图 5、图 6、图 7、图 9。</w:t>
      </w:r>
    </w:p>
    <w:p>
      <w:pPr>
        <w:pStyle w:val="ListNumber"/>
        <w:numPr>
          <w:ilvl w:val="0"/>
          <w:numId w:val="13"/>
        </w:numPr>
      </w:pPr>
      <w:r>
        <w:t>正文瘦身：19 张表压缩为 7 张，其余移入补充材料。</w:t>
      </w:r>
    </w:p>
    <w:p>
      <w:pPr>
        <w:pStyle w:val="ListNumber"/>
        <w:numPr>
          <w:ilvl w:val="0"/>
          <w:numId w:val="13"/>
        </w:numPr>
      </w:pPr>
      <w:r>
        <w:t>补齐参考文献：从 12 条扩到 45–60 条，覆盖五个主题并逐条标引。</w:t>
      </w:r>
    </w:p>
    <w:p>
      <w:pPr>
        <w:pStyle w:val="ListNumber"/>
        <w:numPr>
          <w:ilvl w:val="0"/>
          <w:numId w:val="13"/>
        </w:numPr>
      </w:pPr>
      <w:r>
        <w:t>作者信息与声明：Funding、CRediT、通信作者、单位、ORCID（必须由你本人提供真实信息）。</w:t>
      </w:r>
    </w:p>
    <w:p>
      <w:pPr>
        <w:pStyle w:val="ListNumber"/>
        <w:numPr>
          <w:ilvl w:val="0"/>
          <w:numId w:val="13"/>
        </w:numP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numPr>
          <w:ilvl w:val="0"/>
          <w:numId w:val="14"/>
        </w:numP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numPr>
          <w:ilvl w:val="0"/>
          <w:numId w:val="14"/>
        </w:numPr>
      </w:pPr>
      <w:r>
        <w:t>预注册假设与判定阈值，避免事后挑选。</w:t>
      </w:r>
    </w:p>
    <w:p>
      <w:pPr>
        <w:pStyle w:val="ListNumber"/>
        <w:numPr>
          <w:ilvl w:val="0"/>
          <w:numId w:val="14"/>
        </w:numPr>
      </w:pPr>
      <w:r>
        <w:t>三个数据集上做 5×3 嵌套交叉验证，报告配对效应量与多重比较校正。</w:t>
      </w:r>
    </w:p>
    <w:p>
      <w:pPr>
        <w:pStyle w:val="ListNumber"/>
        <w:numPr>
          <w:ilvl w:val="0"/>
          <w:numId w:val="14"/>
        </w:numPr>
      </w:pPr>
      <w:r>
        <w:t>复杂度分析与消融矩阵（专家数、去相关强度、触发比例）。</w:t>
      </w:r>
    </w:p>
    <w:p>
      <w:pPr>
        <w:pStyle w:val="ListNumber"/>
        <w:numPr>
          <w:ilvl w:val="0"/>
          <w:numId w:val="14"/>
        </w:numP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