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：2026-09-16（此后各轮复审持续更新；最近一次更新 2026-09-24）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：69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中英各 73/73 全覆盖，抽查 21 条零失配；73 条条目中 </w:t>
            </w:r>
            <w:r>
              <w:rPr>
                <w:b/>
                <w:sz w:val="16"/>
              </w:rPr>
              <w:t>60 条带 DOI 的条目已全部通过 Crossref 或 DataCite 核验</w:t>
            </w:r>
            <w:r>
              <w:rPr>
                <w:sz w:val="16"/>
              </w:rPr>
              <w:t>（含新增的 N-BaIoT 论文与数据集 DOI，数据集 DOI 走 DataCite），其余 13 条经确认不分配 Crossref DOI 的出版方（PMLR/NeurIPS/JMLR/USENIX/JSTOR 等）已显式标注为无 DOI，待核验占位符清零（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 xml:space="preserve">两版均含 CRediT 章节，但内容为占位符（待作者填写）；仓库根目录 </w:t>
            </w:r>
            <w:r>
              <w:rPr>
                <w:rFonts w:ascii="Consolas" w:hAnsi="Consolas"/>
                <w:b/>
                <w:sz w:val="16"/>
              </w:rPr>
              <w:t>CITATION.cff</w:t>
            </w:r>
            <w:r>
              <w:rPr>
                <w:b/>
                <w:sz w:val="16"/>
              </w:rPr>
              <w:t xml:space="preserve"> 的 authors 字段同为占位符「Author to be completed」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  <w:r>
              <w:rPr>
                <w:sz w:val="16"/>
              </w:rPr>
              <w:t>（补充材料 S16）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 图 9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19,971 词（整篇含参考文献）、12 图、9 主表；中文 55,310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0.92–0.95；ExtraTrees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847 : 中文 847，集合完全一致；该检查已接入验证闸门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84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补充材料_S01_S30/</w:t>
      </w:r>
      <w:r>
        <w:t xml:space="preserve">：30 条目、76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138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138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标题现为「</w:t>
            </w:r>
            <w:r>
              <w:rPr>
                <w:b/>
                <w:sz w:val="16"/>
              </w:rPr>
              <w:t>总体构造</w:t>
            </w:r>
            <w:r>
              <w:rPr>
                <w:sz w:val="16"/>
              </w:rPr>
              <w:t>而非聚合规则决定集成增益」。该主张由三级规模阶梯支撑：取消上限使两分支差值移动 0.004396，约为聚合效应 0.0005 的九倍，并使绝对 Macro-F1 下降约 0.10。标题未把原因归于规模本身：5.10 节明确报告现代语料扩到 14 250 000 行时两臂仅差 0.000009。标题也未主张其超过模型族差异；5.7 节与结论仍写出模型族差异更大（0.0318–0.0916）（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：73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第二十轮补充证据（不改动 69 项计数）</w:t>
      </w:r>
      <w:r>
        <w:t xml:space="preserve">：现代语料阶梯四项结果（B/C 档、Gotham 每类 20 万与不限上限）与来源留出、特征预算扫描、机制套件已写入论文与扩展实验报告，并由 </w:t>
      </w:r>
      <w:r>
        <w:rPr>
          <w:rFonts w:ascii="Consolas" w:hAnsi="Consolas"/>
        </w:rPr>
        <w:t>scripts/add_modern_ladder_to_paper_v1.py</w:t>
      </w:r>
      <w:r>
        <w:t xml:space="preserve"> 断言源值；53 项闸门新增覆盖阶梯脚本、结果目录与数据真实性记账。据此，数据与论证类条目仍为全部通过，剩余四项部分通过仍集中在作者输入与排版。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署名、单位、通信作者、ORCID，以及 </w:t>
            </w:r>
            <w:r>
              <w:rPr>
                <w:rFonts w:ascii="Consolas" w:hAnsi="Consolas"/>
                <w:sz w:val="16"/>
              </w:rPr>
              <w:t>CITATION.cff</w:t>
            </w:r>
            <w:r>
              <w:rPr>
                <w:sz w:val="16"/>
              </w:rPr>
              <w:t xml:space="preserve"> 的 authors 字段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