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and the test-row paired bootstrap interval lie inside pre-specified equivalence margins of 0.005 and 0.01 Macro-F1, so the paper can assert equivalence rather than merely failing to reject a null. Because that population is a capped subset, we also rebuild it 7.8 times larger (413,209 flows) and repeat the ten-seed comparison there: the equivalence holds at both margins, with the point estimate now slightly favouring the control. Removing the cap entirely (2,429,503 deduplicated flows, ten seeds) reproduces the same picture: -0.005533 Macro-F1, 90% interval [-0.007179, -0.003886], equivalent at the 0.01 margin but not at 0.005, at a 175x training-cost penalty. A fourth dataset from a different domain (N-BaIoT: consumer-IoT botnet traffic, 180,000 flows) is saturated for every flow-feature classifier, which is precisely the regime our Condition 1 predicts.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eight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v1.11.0, tag v1.11.0). Raw datasets are not redistributed; provenance, retrieval dates and SHA-256 checksums are recorded. A 118-test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