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：66 项检查，62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：正式稿件，v1.10.0。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</w:pPr>
      <w:r>
        <w:t>等价性检验（TOST / ROPE）+ 最小有意义效应量声明（0.5 天）</w:t>
      </w:r>
    </w:p>
    <w:p>
      <w:pPr>
        <w:pStyle w:val="ListNumber"/>
      </w:pPr>
      <w:r>
        <w:t>门控超参搜索，消除公平性不对称（1 天）</w:t>
      </w:r>
    </w:p>
    <w:p>
      <w:pPr>
        <w:pStyle w:val="ListNumber"/>
      </w:pPr>
      <w:r>
        <w:t>专家多样性与增益的剂量—反应分析（1 天，复用现有预测）</w:t>
      </w:r>
    </w:p>
    <w:p>
      <w:pPr>
        <w:pStyle w:val="ListNumber"/>
      </w:pPr>
      <w:r>
        <w:t>专家去相关反向实验（2–3 天）</w:t>
      </w:r>
    </w:p>
    <w:p>
      <w:pPr>
        <w:pStyle w:val="ListNumber"/>
      </w:pPr>
      <w:r>
        <w:t>一个神经基线 MLP（1 天）</w:t>
      </w:r>
    </w:p>
    <w:p>
      <w:pPr>
        <w:pStyle w:val="ListNumber"/>
      </w:pPr>
      <w:r>
        <w:t>命题 2 的显式上界（1–2 天）</w:t>
      </w:r>
    </w:p>
    <w:p>
      <w:pPr>
        <w:pStyle w:val="ListNumber"/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</w:pPr>
      <w:r>
        <w:t>时间外推协议（1–2 天）</w:t>
      </w:r>
    </w:p>
    <w:p>
      <w:pPr>
        <w:pStyle w:val="ListNumber"/>
      </w:pPr>
      <w:r>
        <w:t>全语料或大规模子样本运行（2–5 天）</w:t>
      </w:r>
    </w:p>
    <w:p>
      <w:pPr>
        <w:pStyle w:val="ListNumber"/>
      </w:pPr>
      <w:r>
        <w:t>近重复检测（1 天）</w:t>
      </w:r>
    </w:p>
    <w:p>
      <w:pPr>
        <w:pStyle w:val="ListNumber"/>
      </w:pPr>
      <w:r>
        <w:t>代价敏感评估（1 天）</w:t>
      </w:r>
    </w:p>
    <w:p>
      <w:pPr>
        <w:pStyle w:val="ListNumber"/>
      </w:pPr>
      <w:r>
        <w:t>离散度与资源画像（内存、体积、吞吐）（0.5 天）</w:t>
      </w:r>
    </w:p>
    <w:p>
      <w:pPr>
        <w:pStyle w:val="ListNumber"/>
      </w:pPr>
      <w:r>
        <w:t>类别级区间与逐类检验（0.5 天）</w:t>
      </w:r>
    </w:p>
    <w:p>
      <w:pPr>
        <w:pStyle w:val="ListNumber"/>
      </w:pPr>
      <w:r>
        <w:t>主种子由 3 增至 10（1 天）</w:t>
      </w:r>
    </w:p>
    <w:p>
      <w:pPr>
        <w:pStyle w:val="ListNumber"/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</w:pPr>
      <w:r>
        <w:t>CIC-IDS2018 或 TON_IoT 第四个数据集（3–7 天）</w:t>
      </w:r>
    </w:p>
    <w:p>
      <w:pPr>
        <w:pStyle w:val="ListNumber"/>
      </w:pPr>
      <w:r>
        <w:t>CNN/LSTM 深度基线（3–5 天）</w:t>
      </w:r>
    </w:p>
    <w:p>
      <w:pPr>
        <w:pStyle w:val="ListNumber"/>
      </w:pPr>
      <w:r>
        <w:t>对抗鲁棒性（2–4 天）</w:t>
      </w:r>
    </w:p>
    <w:p>
      <w:pPr>
        <w:pStyle w:val="ListNumber"/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</w:pPr>
      <w:r>
        <w:t>作者信息：姓名、单位、通信作者、ORCID、基金情况。</w:t>
      </w:r>
    </w:p>
    <w:p>
      <w:pPr>
        <w:pStyle w:val="ListNumber"/>
      </w:pPr>
      <w:r>
        <w:t>目标期刊：阴性结果定位对期刊敏感，需要你与导师确认。</w:t>
      </w:r>
    </w:p>
    <w:p>
      <w:pPr>
        <w:pStyle w:val="ListNumber"/>
      </w:pPr>
      <w:r>
        <w:t>计算预算：全语料运行（2.1）与第四个数据集（2.3）会显著增加算力与存储占用，需要你同意。</w:t>
      </w:r>
    </w:p>
    <w:p>
      <w:pPr>
        <w:pStyle w:val="ListNumber"/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，约 10 800 词、11 图、10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